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Global AI Agent Identification and Governance Framework (GAID)</w:t>
      </w:r>
    </w:p>
    <w:p>
      <w:pPr>
        <w:pStyle w:val="BodyText"/>
        <w:bidi w:val="0"/>
        <w:jc w:val="left"/>
        <w:rPr/>
      </w:pPr>
      <w:r>
        <w:rPr>
          <w:rStyle w:val="Strong"/>
        </w:rPr>
        <w:t>Normative Identity, Badging, and Chain-of-Custody Standard</w:t>
      </w:r>
    </w:p>
    <w:p>
      <w:pPr>
        <w:pStyle w:val="BodyText"/>
        <w:bidi w:val="0"/>
        <w:jc w:val="left"/>
        <w:rPr/>
      </w:pPr>
      <w:r>
        <w:rPr>
          <w:rStyle w:val="Emphasis"/>
        </w:rPr>
        <w:t>Generated 2026-10-01</w:t>
      </w:r>
    </w:p>
    <w:p>
      <w:pPr>
        <w:pStyle w:val="Heading2"/>
        <w:bidi w:val="0"/>
        <w:jc w:val="left"/>
        <w:rPr/>
      </w:pPr>
      <w:r>
        <w:rPr/>
        <w:t>Abstract</w:t>
      </w:r>
    </w:p>
    <w:p>
      <w:pPr>
        <w:pStyle w:val="BodyText"/>
        <w:bidi w:val="0"/>
        <w:jc w:val="left"/>
        <w:rPr/>
      </w:pPr>
      <w:r>
        <w:rPr/>
        <w:t>The Global AI Agent Identification and Governance Framework (</w:t>
      </w:r>
      <w:r>
        <w:rPr>
          <w:rStyle w:val="SourceText"/>
        </w:rPr>
        <w:t>GAID</w:t>
      </w:r>
      <w:r>
        <w:rPr/>
        <w:t>) is a normative identity, badging, and traceability standard for AI agents. It defines how an agent is named, how its governance and capability claims are expressed, how its public and private identities relate to each other, and how its actions are traced across system boundaries.</w:t>
      </w:r>
    </w:p>
    <w:p>
      <w:pPr>
        <w:pStyle w:val="BodyText"/>
        <w:bidi w:val="0"/>
        <w:jc w:val="left"/>
        <w:rPr/>
      </w:pPr>
      <w:r>
        <w:rPr/>
        <w:t xml:space="preserve">The problem </w:t>
      </w:r>
      <w:r>
        <w:rPr>
          <w:rStyle w:val="SourceText"/>
        </w:rPr>
        <w:t>GAID</w:t>
      </w:r>
      <w:r>
        <w:rPr/>
        <w:t xml:space="preserve"> addresses is not naming alone. The problem is that AI agents are increasingly expected to act with durable identity, delegated authority, tool access, and external impact, while the market still relies on ad hoc metadata, undocumented prompts, trial-and-error capability discovery, and weak audit trails. In practice, organizations cannot reliably inventory, compare, govern, or trust agents at scale without a stronger identity and assurance model.</w:t>
      </w:r>
    </w:p>
    <w:p>
      <w:pPr>
        <w:pStyle w:val="BodyText"/>
        <w:bidi w:val="0"/>
        <w:jc w:val="left"/>
        <w:rPr/>
      </w:pPr>
      <w:r>
        <w:rPr>
          <w:rStyle w:val="SourceText"/>
        </w:rPr>
        <w:t>GAID</w:t>
      </w:r>
      <w:r>
        <w:rPr/>
        <w:t xml:space="preserve"> is intentionally complementary to </w:t>
      </w:r>
      <w:r>
        <w:rPr>
          <w:rStyle w:val="SourceText"/>
        </w:rPr>
        <w:t>TAK</w:t>
      </w:r>
      <w:r>
        <w:rPr/>
        <w:t xml:space="preserve"> and its </w:t>
      </w:r>
      <w:r>
        <w:rPr>
          <w:rStyle w:val="SourceText"/>
        </w:rPr>
        <w:t>TAK-JSI</w:t>
      </w:r>
      <w:r>
        <w:rPr/>
        <w:t xml:space="preserve"> qualification profile. </w:t>
      </w:r>
      <w:r>
        <w:rPr>
          <w:rStyle w:val="SourceText"/>
        </w:rPr>
        <w:t>GAID</w:t>
      </w:r>
      <w:r>
        <w:rPr/>
        <w:t xml:space="preserve"> defines who an agent is, what claims it carries, and how those claims are verified and traced. </w:t>
      </w:r>
      <w:r>
        <w:rPr>
          <w:rStyle w:val="SourceText"/>
        </w:rPr>
        <w:t>TAK-JSI</w:t>
      </w:r>
      <w:r>
        <w:rPr/>
        <w:t xml:space="preserve"> defines whether a versioned operating profile is qualified for a particular job and context. </w:t>
      </w:r>
      <w:r>
        <w:rPr>
          <w:rStyle w:val="SourceText"/>
        </w:rPr>
        <w:t>TAK</w:t>
      </w:r>
      <w:r>
        <w:rPr/>
        <w:t xml:space="preserve"> defines how a trustworthy runtime </w:t>
      </w:r>
      <w:r>
        <w:rPr>
          <w:rStyle w:val="SourceText"/>
        </w:rPr>
        <w:t>MUST</w:t>
      </w:r>
      <w:r>
        <w:rPr/>
        <w:t xml:space="preserve"> govern the identified and qualified agent in operation.</w:t>
      </w:r>
    </w:p>
    <w:p>
      <w:pPr>
        <w:pStyle w:val="Heading2"/>
        <w:bidi w:val="0"/>
        <w:jc w:val="left"/>
        <w:rPr/>
      </w:pPr>
      <w:r>
        <w:rPr/>
        <w:t>1. Scope</w:t>
      </w:r>
    </w:p>
    <w:p>
      <w:pPr>
        <w:pStyle w:val="BodyText"/>
        <w:bidi w:val="0"/>
        <w:jc w:val="left"/>
        <w:rPr/>
      </w:pPr>
      <w:r>
        <w:rPr/>
        <w:t>This standard specifies requirements for:</w:t>
      </w:r>
    </w:p>
    <w:p>
      <w:pPr>
        <w:pStyle w:val="BodyText"/>
        <w:numPr>
          <w:ilvl w:val="0"/>
          <w:numId w:val="1"/>
        </w:numPr>
        <w:tabs>
          <w:tab w:val="clear" w:pos="1134"/>
          <w:tab w:val="left" w:pos="709" w:leader="none"/>
        </w:tabs>
        <w:bidi w:val="0"/>
        <w:spacing w:before="0" w:after="0"/>
        <w:ind w:hanging="283" w:left="709"/>
        <w:jc w:val="left"/>
        <w:rPr/>
      </w:pPr>
      <w:r>
        <w:rPr/>
        <w:t xml:space="preserve">stable agent identifiers in private and public namespaces </w:t>
      </w:r>
    </w:p>
    <w:p>
      <w:pPr>
        <w:pStyle w:val="BodyText"/>
        <w:numPr>
          <w:ilvl w:val="0"/>
          <w:numId w:val="1"/>
        </w:numPr>
        <w:tabs>
          <w:tab w:val="clear" w:pos="1134"/>
          <w:tab w:val="left" w:pos="709" w:leader="none"/>
        </w:tabs>
        <w:bidi w:val="0"/>
        <w:spacing w:before="0" w:after="0"/>
        <w:ind w:hanging="283" w:left="709"/>
        <w:jc w:val="left"/>
        <w:rPr/>
      </w:pPr>
      <w:r>
        <w:rPr/>
        <w:t xml:space="preserve">issuer, registry, and accreditation expectations </w:t>
      </w:r>
    </w:p>
    <w:p>
      <w:pPr>
        <w:pStyle w:val="BodyText"/>
        <w:numPr>
          <w:ilvl w:val="0"/>
          <w:numId w:val="1"/>
        </w:numPr>
        <w:tabs>
          <w:tab w:val="clear" w:pos="1134"/>
          <w:tab w:val="left" w:pos="709" w:leader="none"/>
        </w:tabs>
        <w:bidi w:val="0"/>
        <w:spacing w:before="0" w:after="0"/>
        <w:ind w:hanging="283" w:left="709"/>
        <w:jc w:val="left"/>
        <w:rPr/>
      </w:pPr>
      <w:r>
        <w:rPr/>
        <w:t xml:space="preserve">agent identity resolution </w:t>
      </w:r>
    </w:p>
    <w:p>
      <w:pPr>
        <w:pStyle w:val="BodyText"/>
        <w:numPr>
          <w:ilvl w:val="0"/>
          <w:numId w:val="1"/>
        </w:numPr>
        <w:tabs>
          <w:tab w:val="clear" w:pos="1134"/>
          <w:tab w:val="left" w:pos="709" w:leader="none"/>
        </w:tabs>
        <w:bidi w:val="0"/>
        <w:spacing w:before="0" w:after="0"/>
        <w:ind w:hanging="283" w:left="709"/>
        <w:jc w:val="left"/>
        <w:rPr/>
      </w:pPr>
      <w:r>
        <w:rPr/>
        <w:t xml:space="preserve">the </w:t>
      </w:r>
      <w:r>
        <w:rPr>
          <w:rStyle w:val="SourceText"/>
        </w:rPr>
        <w:t>Agent Identity Document</w:t>
      </w:r>
      <w:r>
        <w:rPr/>
        <w:t xml:space="preserve"> (</w:t>
      </w:r>
      <w:r>
        <w:rPr>
          <w:rStyle w:val="SourceText"/>
        </w:rPr>
        <w:t>AIDoc</w:t>
      </w:r>
      <w:r>
        <w:rPr/>
        <w:t xml:space="preserve">) </w:t>
      </w:r>
    </w:p>
    <w:p>
      <w:pPr>
        <w:pStyle w:val="BodyText"/>
        <w:numPr>
          <w:ilvl w:val="0"/>
          <w:numId w:val="1"/>
        </w:numPr>
        <w:tabs>
          <w:tab w:val="clear" w:pos="1134"/>
          <w:tab w:val="left" w:pos="709" w:leader="none"/>
        </w:tabs>
        <w:bidi w:val="0"/>
        <w:spacing w:before="0" w:after="0"/>
        <w:ind w:hanging="283" w:left="709"/>
        <w:jc w:val="left"/>
        <w:rPr/>
      </w:pPr>
      <w:r>
        <w:rPr/>
        <w:t xml:space="preserve">badging and assurance claims </w:t>
      </w:r>
    </w:p>
    <w:p>
      <w:pPr>
        <w:pStyle w:val="BodyText"/>
        <w:numPr>
          <w:ilvl w:val="0"/>
          <w:numId w:val="1"/>
        </w:numPr>
        <w:tabs>
          <w:tab w:val="clear" w:pos="1134"/>
          <w:tab w:val="left" w:pos="709" w:leader="none"/>
        </w:tabs>
        <w:bidi w:val="0"/>
        <w:spacing w:before="0" w:after="0"/>
        <w:ind w:hanging="283" w:left="709"/>
        <w:jc w:val="left"/>
        <w:rPr/>
      </w:pPr>
      <w:r>
        <w:rPr/>
        <w:t xml:space="preserve">versioned job-qualification claims and their status </w:t>
      </w:r>
    </w:p>
    <w:p>
      <w:pPr>
        <w:pStyle w:val="BodyText"/>
        <w:numPr>
          <w:ilvl w:val="0"/>
          <w:numId w:val="1"/>
        </w:numPr>
        <w:tabs>
          <w:tab w:val="clear" w:pos="1134"/>
          <w:tab w:val="left" w:pos="709" w:leader="none"/>
        </w:tabs>
        <w:bidi w:val="0"/>
        <w:spacing w:before="0" w:after="0"/>
        <w:ind w:hanging="283" w:left="709"/>
        <w:jc w:val="left"/>
        <w:rPr/>
      </w:pPr>
      <w:r>
        <w:rPr/>
        <w:t xml:space="preserve">portable authorization classes </w:t>
      </w:r>
    </w:p>
    <w:p>
      <w:pPr>
        <w:pStyle w:val="BodyText"/>
        <w:numPr>
          <w:ilvl w:val="0"/>
          <w:numId w:val="1"/>
        </w:numPr>
        <w:tabs>
          <w:tab w:val="clear" w:pos="1134"/>
          <w:tab w:val="left" w:pos="709" w:leader="none"/>
        </w:tabs>
        <w:bidi w:val="0"/>
        <w:spacing w:before="0" w:after="0"/>
        <w:ind w:hanging="283" w:left="709"/>
        <w:jc w:val="left"/>
        <w:rPr/>
      </w:pPr>
      <w:r>
        <w:rPr/>
        <w:t xml:space="preserve">chain-of-custody and action receipt records </w:t>
      </w:r>
    </w:p>
    <w:p>
      <w:pPr>
        <w:pStyle w:val="BodyText"/>
        <w:numPr>
          <w:ilvl w:val="0"/>
          <w:numId w:val="1"/>
        </w:numPr>
        <w:tabs>
          <w:tab w:val="clear" w:pos="1134"/>
          <w:tab w:val="left" w:pos="709" w:leader="none"/>
        </w:tabs>
        <w:bidi w:val="0"/>
        <w:spacing w:before="0" w:after="0"/>
        <w:ind w:hanging="283" w:left="709"/>
        <w:jc w:val="left"/>
        <w:rPr/>
      </w:pPr>
      <w:r>
        <w:rPr/>
        <w:t xml:space="preserve">public validation, revocation, and reassignment controls </w:t>
      </w:r>
    </w:p>
    <w:p>
      <w:pPr>
        <w:pStyle w:val="BodyText"/>
        <w:numPr>
          <w:ilvl w:val="0"/>
          <w:numId w:val="1"/>
        </w:numPr>
        <w:tabs>
          <w:tab w:val="clear" w:pos="1134"/>
          <w:tab w:val="left" w:pos="709" w:leader="none"/>
        </w:tabs>
        <w:bidi w:val="0"/>
        <w:ind w:hanging="283" w:left="709"/>
        <w:jc w:val="left"/>
        <w:rPr/>
      </w:pPr>
      <w:r>
        <w:rPr/>
        <w:t xml:space="preserve">interoperability profiles for emerging agent protocols </w:t>
      </w:r>
    </w:p>
    <w:p>
      <w:pPr>
        <w:pStyle w:val="BodyText"/>
        <w:bidi w:val="0"/>
        <w:jc w:val="left"/>
        <w:rPr/>
      </w:pPr>
      <w:r>
        <w:rPr/>
        <w:t>This standard applies to:</w:t>
      </w:r>
    </w:p>
    <w:p>
      <w:pPr>
        <w:pStyle w:val="BodyText"/>
        <w:numPr>
          <w:ilvl w:val="0"/>
          <w:numId w:val="2"/>
        </w:numPr>
        <w:tabs>
          <w:tab w:val="clear" w:pos="1134"/>
          <w:tab w:val="left" w:pos="709" w:leader="none"/>
        </w:tabs>
        <w:bidi w:val="0"/>
        <w:spacing w:before="0" w:after="0"/>
        <w:ind w:hanging="283" w:left="709"/>
        <w:jc w:val="left"/>
        <w:rPr/>
      </w:pPr>
      <w:r>
        <w:rPr/>
        <w:t xml:space="preserve">enterprise-private agents </w:t>
      </w:r>
    </w:p>
    <w:p>
      <w:pPr>
        <w:pStyle w:val="BodyText"/>
        <w:numPr>
          <w:ilvl w:val="0"/>
          <w:numId w:val="2"/>
        </w:numPr>
        <w:tabs>
          <w:tab w:val="clear" w:pos="1134"/>
          <w:tab w:val="left" w:pos="709" w:leader="none"/>
        </w:tabs>
        <w:bidi w:val="0"/>
        <w:spacing w:before="0" w:after="0"/>
        <w:ind w:hanging="283" w:left="709"/>
        <w:jc w:val="left"/>
        <w:rPr/>
      </w:pPr>
      <w:r>
        <w:rPr/>
        <w:t xml:space="preserve">public-facing business-to-business and business-to-consumer agents </w:t>
      </w:r>
    </w:p>
    <w:p>
      <w:pPr>
        <w:pStyle w:val="BodyText"/>
        <w:numPr>
          <w:ilvl w:val="0"/>
          <w:numId w:val="2"/>
        </w:numPr>
        <w:tabs>
          <w:tab w:val="clear" w:pos="1134"/>
          <w:tab w:val="left" w:pos="709" w:leader="none"/>
        </w:tabs>
        <w:bidi w:val="0"/>
        <w:spacing w:before="0" w:after="0"/>
        <w:ind w:hanging="283" w:left="709"/>
        <w:jc w:val="left"/>
        <w:rPr/>
      </w:pPr>
      <w:r>
        <w:rPr/>
        <w:t xml:space="preserve">government and regulated-environment agents </w:t>
      </w:r>
    </w:p>
    <w:p>
      <w:pPr>
        <w:pStyle w:val="BodyText"/>
        <w:numPr>
          <w:ilvl w:val="0"/>
          <w:numId w:val="2"/>
        </w:numPr>
        <w:tabs>
          <w:tab w:val="clear" w:pos="1134"/>
          <w:tab w:val="left" w:pos="709" w:leader="none"/>
        </w:tabs>
        <w:bidi w:val="0"/>
        <w:spacing w:before="0" w:after="0"/>
        <w:ind w:hanging="283" w:left="709"/>
        <w:jc w:val="left"/>
        <w:rPr/>
      </w:pPr>
      <w:r>
        <w:rPr/>
        <w:t xml:space="preserve">single-agent and multi-agent systems </w:t>
      </w:r>
    </w:p>
    <w:p>
      <w:pPr>
        <w:pStyle w:val="BodyText"/>
        <w:numPr>
          <w:ilvl w:val="0"/>
          <w:numId w:val="2"/>
        </w:numPr>
        <w:tabs>
          <w:tab w:val="clear" w:pos="1134"/>
          <w:tab w:val="left" w:pos="709" w:leader="none"/>
        </w:tabs>
        <w:bidi w:val="0"/>
        <w:ind w:hanging="283" w:left="709"/>
        <w:jc w:val="left"/>
        <w:rPr/>
      </w:pPr>
      <w:r>
        <w:rPr/>
        <w:t xml:space="preserve">embedded, routed, orchestrated, and externally callable agents </w:t>
      </w:r>
    </w:p>
    <w:p>
      <w:pPr>
        <w:pStyle w:val="BodyText"/>
        <w:bidi w:val="0"/>
        <w:jc w:val="left"/>
        <w:rPr/>
      </w:pPr>
      <w:r>
        <w:rPr/>
        <w:t>This standard does not define:</w:t>
      </w:r>
    </w:p>
    <w:p>
      <w:pPr>
        <w:pStyle w:val="BodyText"/>
        <w:numPr>
          <w:ilvl w:val="0"/>
          <w:numId w:val="3"/>
        </w:numPr>
        <w:tabs>
          <w:tab w:val="clear" w:pos="1134"/>
          <w:tab w:val="left" w:pos="709" w:leader="none"/>
        </w:tabs>
        <w:bidi w:val="0"/>
        <w:spacing w:before="0" w:after="0"/>
        <w:ind w:hanging="283" w:left="709"/>
        <w:jc w:val="left"/>
        <w:rPr/>
      </w:pPr>
      <w:r>
        <w:rPr/>
        <w:t xml:space="preserve">runtime execution controls, memory governance, or human-in-the-loop enforcement </w:t>
      </w:r>
    </w:p>
    <w:p>
      <w:pPr>
        <w:pStyle w:val="BodyText"/>
        <w:numPr>
          <w:ilvl w:val="0"/>
          <w:numId w:val="3"/>
        </w:numPr>
        <w:tabs>
          <w:tab w:val="clear" w:pos="1134"/>
          <w:tab w:val="left" w:pos="709" w:leader="none"/>
        </w:tabs>
        <w:bidi w:val="0"/>
        <w:spacing w:before="0" w:after="0"/>
        <w:ind w:hanging="283" w:left="709"/>
        <w:jc w:val="left"/>
        <w:rPr/>
      </w:pPr>
      <w:r>
        <w:rPr/>
        <w:t xml:space="preserve">job definitions, qualification schemes, or qualification assessment procedures </w:t>
      </w:r>
    </w:p>
    <w:p>
      <w:pPr>
        <w:pStyle w:val="BodyText"/>
        <w:numPr>
          <w:ilvl w:val="0"/>
          <w:numId w:val="3"/>
        </w:numPr>
        <w:tabs>
          <w:tab w:val="clear" w:pos="1134"/>
          <w:tab w:val="left" w:pos="709" w:leader="none"/>
        </w:tabs>
        <w:bidi w:val="0"/>
        <w:spacing w:before="0" w:after="0"/>
        <w:ind w:hanging="283" w:left="709"/>
        <w:jc w:val="left"/>
        <w:rPr/>
      </w:pPr>
      <w:r>
        <w:rPr/>
        <w:t xml:space="preserve">internal model architecture </w:t>
      </w:r>
    </w:p>
    <w:p>
      <w:pPr>
        <w:pStyle w:val="BodyText"/>
        <w:numPr>
          <w:ilvl w:val="0"/>
          <w:numId w:val="3"/>
        </w:numPr>
        <w:tabs>
          <w:tab w:val="clear" w:pos="1134"/>
          <w:tab w:val="left" w:pos="709" w:leader="none"/>
        </w:tabs>
        <w:bidi w:val="0"/>
        <w:ind w:hanging="283" w:left="709"/>
        <w:jc w:val="left"/>
        <w:rPr/>
      </w:pPr>
      <w:r>
        <w:rPr/>
        <w:t xml:space="preserve">organization-wide AI management systems </w:t>
      </w:r>
    </w:p>
    <w:p>
      <w:pPr>
        <w:pStyle w:val="BodyText"/>
        <w:bidi w:val="0"/>
        <w:jc w:val="left"/>
        <w:rPr/>
      </w:pPr>
      <w:r>
        <w:rPr/>
        <w:t xml:space="preserve">Those concerns are addressed respectively by </w:t>
      </w:r>
      <w:r>
        <w:rPr>
          <w:rStyle w:val="SourceText"/>
        </w:rPr>
        <w:t>TAK</w:t>
      </w:r>
      <w:r>
        <w:rPr/>
        <w:t xml:space="preserve">, the </w:t>
      </w:r>
      <w:hyperlink r:id="rId2">
        <w:r>
          <w:rPr>
            <w:rStyle w:val="Hyperlink"/>
          </w:rPr>
          <w:t>Job-Specific Intelligence (</w:t>
        </w:r>
        <w:r>
          <w:rPr>
            <w:rStyle w:val="Hyperlink"/>
            <w:rFonts w:ascii="Liberation Mono" w:hAnsi="Liberation Mono" w:eastAsia="Liberation Mono" w:cs="Liberation Mono"/>
          </w:rPr>
          <w:t>TAK-JSI</w:t>
        </w:r>
        <w:r>
          <w:rPr>
            <w:rStyle w:val="Hyperlink"/>
          </w:rPr>
          <w:t>) profile</w:t>
        </w:r>
      </w:hyperlink>
      <w:r>
        <w:rPr/>
        <w:t xml:space="preserve">, and broader governance frameworks such as </w:t>
      </w:r>
      <w:r>
        <w:rPr>
          <w:rStyle w:val="SourceText"/>
        </w:rPr>
        <w:t>ISO/IEC 42001</w:t>
      </w:r>
      <w:r>
        <w:rPr/>
        <w:t>.</w:t>
      </w:r>
    </w:p>
    <w:p>
      <w:pPr>
        <w:pStyle w:val="Heading2"/>
        <w:bidi w:val="0"/>
        <w:jc w:val="left"/>
        <w:rPr/>
      </w:pPr>
      <w:r>
        <w:rPr/>
        <w:t>2. Conformance</w:t>
      </w:r>
    </w:p>
    <w:p>
      <w:pPr>
        <w:pStyle w:val="BodyText"/>
        <w:bidi w:val="0"/>
        <w:jc w:val="left"/>
        <w:rPr/>
      </w:pPr>
      <w:r>
        <w:rPr/>
        <w:t xml:space="preserve">An implementation conforms to this standard only if it satisfies all requirements identified as </w:t>
      </w:r>
      <w:r>
        <w:rPr>
          <w:rStyle w:val="SourceText"/>
        </w:rPr>
        <w:t>MUST</w:t>
      </w:r>
      <w:r>
        <w:rPr/>
        <w:t xml:space="preserve"> for its claimed conformance profile.</w:t>
      </w:r>
    </w:p>
    <w:p>
      <w:pPr>
        <w:pStyle w:val="BodyText"/>
        <w:bidi w:val="0"/>
        <w:jc w:val="left"/>
        <w:rPr/>
      </w:pPr>
      <w:r>
        <w:rPr/>
        <w:t>This standard defines three conformance profiles:</w:t>
      </w:r>
    </w:p>
    <w:p>
      <w:pPr>
        <w:pStyle w:val="BodyText"/>
        <w:numPr>
          <w:ilvl w:val="0"/>
          <w:numId w:val="4"/>
        </w:numPr>
        <w:tabs>
          <w:tab w:val="clear" w:pos="1134"/>
          <w:tab w:val="left" w:pos="709" w:leader="none"/>
        </w:tabs>
        <w:bidi w:val="0"/>
        <w:spacing w:before="0" w:after="0"/>
        <w:ind w:hanging="283" w:left="709"/>
        <w:jc w:val="left"/>
        <w:rPr/>
      </w:pPr>
      <w:r>
        <w:rPr>
          <w:rStyle w:val="SourceText"/>
        </w:rPr>
        <w:t>GAID-Private</w:t>
      </w:r>
      <w:r>
        <w:rPr/>
        <w:t xml:space="preserve"> </w:t>
      </w:r>
    </w:p>
    <w:p>
      <w:pPr>
        <w:pStyle w:val="BodyText"/>
        <w:numPr>
          <w:ilvl w:val="0"/>
          <w:numId w:val="4"/>
        </w:numPr>
        <w:tabs>
          <w:tab w:val="clear" w:pos="1134"/>
          <w:tab w:val="left" w:pos="709" w:leader="none"/>
        </w:tabs>
        <w:bidi w:val="0"/>
        <w:spacing w:before="0" w:after="0"/>
        <w:ind w:hanging="283" w:left="709"/>
        <w:jc w:val="left"/>
        <w:rPr/>
      </w:pPr>
      <w:r>
        <w:rPr>
          <w:rStyle w:val="SourceText"/>
        </w:rPr>
        <w:t>GAID-Federated</w:t>
      </w:r>
      <w:r>
        <w:rPr/>
        <w:t xml:space="preserve"> </w:t>
      </w:r>
    </w:p>
    <w:p>
      <w:pPr>
        <w:pStyle w:val="BodyText"/>
        <w:numPr>
          <w:ilvl w:val="0"/>
          <w:numId w:val="4"/>
        </w:numPr>
        <w:tabs>
          <w:tab w:val="clear" w:pos="1134"/>
          <w:tab w:val="left" w:pos="709" w:leader="none"/>
        </w:tabs>
        <w:bidi w:val="0"/>
        <w:ind w:hanging="283" w:left="709"/>
        <w:jc w:val="left"/>
        <w:rPr/>
      </w:pPr>
      <w:r>
        <w:rPr>
          <w:rStyle w:val="SourceText"/>
        </w:rPr>
        <w:t>GAID-Public</w:t>
      </w:r>
      <w:r>
        <w:rPr/>
        <w:t xml:space="preserve"> </w:t>
      </w:r>
    </w:p>
    <w:p>
      <w:pPr>
        <w:pStyle w:val="BodyText"/>
        <w:bidi w:val="0"/>
        <w:jc w:val="left"/>
        <w:rPr/>
      </w:pPr>
      <w:r>
        <w:rPr/>
        <w:t>An implementation:</w:t>
      </w:r>
    </w:p>
    <w:p>
      <w:pPr>
        <w:pStyle w:val="BodyText"/>
        <w:numPr>
          <w:ilvl w:val="0"/>
          <w:numId w:val="5"/>
        </w:numPr>
        <w:tabs>
          <w:tab w:val="clear" w:pos="1134"/>
          <w:tab w:val="left" w:pos="709" w:leader="none"/>
        </w:tabs>
        <w:bidi w:val="0"/>
        <w:spacing w:before="0" w:after="0"/>
        <w:ind w:hanging="283" w:left="709"/>
        <w:jc w:val="left"/>
        <w:rPr/>
      </w:pPr>
      <w:r>
        <w:rPr>
          <w:rStyle w:val="SourceText"/>
        </w:rPr>
        <w:t>MUST</w:t>
      </w:r>
      <w:r>
        <w:rPr/>
        <w:t xml:space="preserve"> declare the highest conformance profile it claims </w:t>
      </w:r>
    </w:p>
    <w:p>
      <w:pPr>
        <w:pStyle w:val="BodyText"/>
        <w:numPr>
          <w:ilvl w:val="0"/>
          <w:numId w:val="5"/>
        </w:numPr>
        <w:tabs>
          <w:tab w:val="clear" w:pos="1134"/>
          <w:tab w:val="left" w:pos="709" w:leader="none"/>
        </w:tabs>
        <w:bidi w:val="0"/>
        <w:spacing w:before="0" w:after="0"/>
        <w:ind w:hanging="283" w:left="709"/>
        <w:jc w:val="left"/>
        <w:rPr/>
      </w:pPr>
      <w:r>
        <w:rPr>
          <w:rStyle w:val="SourceText"/>
        </w:rPr>
        <w:t>MUST NOT</w:t>
      </w:r>
      <w:r>
        <w:rPr/>
        <w:t xml:space="preserve"> claim a higher profile if any mandatory control for that profile is absent </w:t>
      </w:r>
    </w:p>
    <w:p>
      <w:pPr>
        <w:pStyle w:val="BodyText"/>
        <w:numPr>
          <w:ilvl w:val="0"/>
          <w:numId w:val="5"/>
        </w:numPr>
        <w:tabs>
          <w:tab w:val="clear" w:pos="1134"/>
          <w:tab w:val="left" w:pos="709" w:leader="none"/>
        </w:tabs>
        <w:bidi w:val="0"/>
        <w:spacing w:before="0" w:after="0"/>
        <w:ind w:hanging="283" w:left="709"/>
        <w:jc w:val="left"/>
        <w:rPr/>
      </w:pPr>
      <w:r>
        <w:rPr>
          <w:rStyle w:val="SourceText"/>
        </w:rPr>
        <w:t>MUST</w:t>
      </w:r>
      <w:r>
        <w:rPr/>
        <w:t xml:space="preserve"> distinguish between self-asserted, organization-attested, independently-assessed, and accredited-certified claims </w:t>
      </w:r>
    </w:p>
    <w:p>
      <w:pPr>
        <w:pStyle w:val="BodyText"/>
        <w:numPr>
          <w:ilvl w:val="0"/>
          <w:numId w:val="5"/>
        </w:numPr>
        <w:tabs>
          <w:tab w:val="clear" w:pos="1134"/>
          <w:tab w:val="left" w:pos="709" w:leader="none"/>
        </w:tabs>
        <w:bidi w:val="0"/>
        <w:spacing w:before="0" w:after="0"/>
        <w:ind w:hanging="283" w:left="709"/>
        <w:jc w:val="left"/>
        <w:rPr/>
      </w:pPr>
      <w:r>
        <w:rPr>
          <w:rStyle w:val="SourceText"/>
        </w:rPr>
        <w:t>SHOULD</w:t>
      </w:r>
      <w:r>
        <w:rPr/>
        <w:t xml:space="preserve"> publish an implementation statement showing how each control is met </w:t>
      </w:r>
    </w:p>
    <w:p>
      <w:pPr>
        <w:pStyle w:val="BodyText"/>
        <w:numPr>
          <w:ilvl w:val="0"/>
          <w:numId w:val="5"/>
        </w:numPr>
        <w:tabs>
          <w:tab w:val="clear" w:pos="1134"/>
          <w:tab w:val="left" w:pos="709" w:leader="none"/>
        </w:tabs>
        <w:bidi w:val="0"/>
        <w:ind w:hanging="283" w:left="709"/>
        <w:jc w:val="left"/>
        <w:rPr/>
      </w:pPr>
      <w:r>
        <w:rPr>
          <w:rStyle w:val="SourceText"/>
        </w:rPr>
        <w:t>MAY</w:t>
      </w:r>
      <w:r>
        <w:rPr/>
        <w:t xml:space="preserve"> implement controls beyond those required by its claimed profile </w:t>
      </w:r>
    </w:p>
    <w:p>
      <w:pPr>
        <w:pStyle w:val="Heading3"/>
        <w:bidi w:val="0"/>
        <w:jc w:val="left"/>
        <w:rPr/>
      </w:pPr>
      <w:r>
        <w:rPr/>
        <w:t>2.1 Standard Versioning, Lifecycle, and Conformance Assertions</w:t>
      </w:r>
    </w:p>
    <w:p>
      <w:pPr>
        <w:pStyle w:val="BodyText"/>
        <w:bidi w:val="0"/>
        <w:jc w:val="left"/>
        <w:rPr/>
      </w:pPr>
      <w:r>
        <w:rPr/>
        <w:t xml:space="preserve">This standard </w:t>
      </w:r>
      <w:r>
        <w:rPr>
          <w:rStyle w:val="SourceText"/>
        </w:rPr>
        <w:t>SHOULD</w:t>
      </w:r>
      <w:r>
        <w:rPr/>
        <w:t xml:space="preserve"> be versioned using a semantic-style scheme:</w:t>
      </w:r>
    </w:p>
    <w:p>
      <w:pPr>
        <w:pStyle w:val="BodyText"/>
        <w:numPr>
          <w:ilvl w:val="0"/>
          <w:numId w:val="6"/>
        </w:numPr>
        <w:tabs>
          <w:tab w:val="clear" w:pos="1134"/>
          <w:tab w:val="left" w:pos="709" w:leader="none"/>
        </w:tabs>
        <w:bidi w:val="0"/>
        <w:spacing w:before="0" w:after="0"/>
        <w:ind w:hanging="283" w:left="709"/>
        <w:jc w:val="left"/>
        <w:rPr/>
      </w:pPr>
      <w:r>
        <w:rPr/>
        <w:t xml:space="preserve">major versions for normative incompatibilities </w:t>
      </w:r>
    </w:p>
    <w:p>
      <w:pPr>
        <w:pStyle w:val="BodyText"/>
        <w:numPr>
          <w:ilvl w:val="0"/>
          <w:numId w:val="6"/>
        </w:numPr>
        <w:tabs>
          <w:tab w:val="clear" w:pos="1134"/>
          <w:tab w:val="left" w:pos="709" w:leader="none"/>
        </w:tabs>
        <w:bidi w:val="0"/>
        <w:spacing w:before="0" w:after="0"/>
        <w:ind w:hanging="283" w:left="709"/>
        <w:jc w:val="left"/>
        <w:rPr/>
      </w:pPr>
      <w:r>
        <w:rPr/>
        <w:t xml:space="preserve">minor versions for additive normative capabilities or profiles </w:t>
      </w:r>
    </w:p>
    <w:p>
      <w:pPr>
        <w:pStyle w:val="BodyText"/>
        <w:numPr>
          <w:ilvl w:val="0"/>
          <w:numId w:val="6"/>
        </w:numPr>
        <w:tabs>
          <w:tab w:val="clear" w:pos="1134"/>
          <w:tab w:val="left" w:pos="709" w:leader="none"/>
        </w:tabs>
        <w:bidi w:val="0"/>
        <w:ind w:hanging="283" w:left="709"/>
        <w:jc w:val="left"/>
        <w:rPr/>
      </w:pPr>
      <w:r>
        <w:rPr/>
        <w:t xml:space="preserve">patch versions for clarifications, errata, or non-substantive corrections </w:t>
      </w:r>
    </w:p>
    <w:p>
      <w:pPr>
        <w:pStyle w:val="BodyText"/>
        <w:bidi w:val="0"/>
        <w:jc w:val="left"/>
        <w:rPr/>
      </w:pPr>
      <w:r>
        <w:rPr/>
        <w:t xml:space="preserve">Implementations claiming conformance </w:t>
      </w:r>
      <w:r>
        <w:rPr>
          <w:rStyle w:val="SourceText"/>
        </w:rPr>
        <w:t>SHOULD</w:t>
      </w:r>
      <w:r>
        <w:rPr/>
        <w:t xml:space="preserve"> declare:</w:t>
      </w:r>
    </w:p>
    <w:p>
      <w:pPr>
        <w:pStyle w:val="BodyText"/>
        <w:numPr>
          <w:ilvl w:val="0"/>
          <w:numId w:val="7"/>
        </w:numPr>
        <w:tabs>
          <w:tab w:val="clear" w:pos="1134"/>
          <w:tab w:val="left" w:pos="709" w:leader="none"/>
        </w:tabs>
        <w:bidi w:val="0"/>
        <w:spacing w:before="0" w:after="0"/>
        <w:ind w:hanging="283" w:left="709"/>
        <w:jc w:val="left"/>
        <w:rPr/>
      </w:pPr>
      <w:r>
        <w:rPr/>
        <w:t xml:space="preserve">the supported </w:t>
      </w:r>
      <w:r>
        <w:rPr>
          <w:rStyle w:val="SourceText"/>
        </w:rPr>
        <w:t>GAID</w:t>
      </w:r>
      <w:r>
        <w:rPr/>
        <w:t xml:space="preserve"> version </w:t>
      </w:r>
    </w:p>
    <w:p>
      <w:pPr>
        <w:pStyle w:val="BodyText"/>
        <w:numPr>
          <w:ilvl w:val="0"/>
          <w:numId w:val="7"/>
        </w:numPr>
        <w:tabs>
          <w:tab w:val="clear" w:pos="1134"/>
          <w:tab w:val="left" w:pos="709" w:leader="none"/>
        </w:tabs>
        <w:bidi w:val="0"/>
        <w:spacing w:before="0" w:after="0"/>
        <w:ind w:hanging="283" w:left="709"/>
        <w:jc w:val="left"/>
        <w:rPr/>
      </w:pPr>
      <w:r>
        <w:rPr/>
        <w:t xml:space="preserve">the claimed conformance profile </w:t>
      </w:r>
    </w:p>
    <w:p>
      <w:pPr>
        <w:pStyle w:val="BodyText"/>
        <w:numPr>
          <w:ilvl w:val="0"/>
          <w:numId w:val="7"/>
        </w:numPr>
        <w:tabs>
          <w:tab w:val="clear" w:pos="1134"/>
          <w:tab w:val="left" w:pos="709" w:leader="none"/>
        </w:tabs>
        <w:bidi w:val="0"/>
        <w:ind w:hanging="283" w:left="709"/>
        <w:jc w:val="left"/>
        <w:rPr/>
      </w:pPr>
      <w:r>
        <w:rPr/>
        <w:t xml:space="preserve">any declared public-trust profile such as private-only, federated, certificate-backed, or decentralized-portability </w:t>
      </w:r>
    </w:p>
    <w:p>
      <w:pPr>
        <w:pStyle w:val="BodyText"/>
        <w:bidi w:val="0"/>
        <w:jc w:val="left"/>
        <w:rPr/>
      </w:pPr>
      <w:r>
        <w:rPr/>
        <w:t xml:space="preserve">Each normative </w:t>
      </w:r>
      <w:r>
        <w:rPr>
          <w:rStyle w:val="SourceText"/>
        </w:rPr>
        <w:t>MUST</w:t>
      </w:r>
      <w:r>
        <w:rPr/>
        <w:t xml:space="preserve"> statement in this standard </w:t>
      </w:r>
      <w:r>
        <w:rPr>
          <w:rStyle w:val="SourceText"/>
        </w:rPr>
        <w:t>SHOULD</w:t>
      </w:r>
      <w:r>
        <w:rPr/>
        <w:t xml:space="preserve"> map to one or more explicit conformance assertions in a companion test suite or implementation statement. This document does not require one central verifier implementation, but it does require that conformance claims be testable rather than rhetorical.</w:t>
      </w:r>
    </w:p>
    <w:p>
      <w:pPr>
        <w:pStyle w:val="BodyText"/>
        <w:bidi w:val="0"/>
        <w:jc w:val="left"/>
        <w:rPr/>
      </w:pPr>
      <w:r>
        <w:rPr/>
        <w:t xml:space="preserve">A suggested companion assertion rubric for this revision is published in </w:t>
      </w:r>
      <w:r>
        <w:rPr>
          <w:rStyle w:val="SourceText"/>
        </w:rPr>
        <w:t>gaid-conformance-tests.md</w:t>
      </w:r>
      <w:r>
        <w:rPr/>
        <w:t>.</w:t>
      </w:r>
    </w:p>
    <w:p>
      <w:pPr>
        <w:pStyle w:val="BodyText"/>
        <w:bidi w:val="0"/>
        <w:jc w:val="left"/>
        <w:rPr/>
      </w:pPr>
      <w:r>
        <w:rPr/>
        <w:t xml:space="preserve">The intended lifecycle of </w:t>
      </w:r>
      <w:r>
        <w:rPr>
          <w:rStyle w:val="SourceText"/>
        </w:rPr>
        <w:t>GAID</w:t>
      </w:r>
      <w:r>
        <w:rPr/>
        <w:t xml:space="preserve"> is open standards progression through multistakeholder implementation and liaison rather than indefinite treatment as an internal white paper.</w:t>
      </w:r>
    </w:p>
    <w:p>
      <w:pPr>
        <w:pStyle w:val="BodyText"/>
        <w:bidi w:val="0"/>
        <w:jc w:val="left"/>
        <w:rPr/>
      </w:pPr>
      <w:r>
        <w:rPr/>
        <w:t xml:space="preserve">The preferred near-term disposition is publication as an open industry specification with explicit liaison to </w:t>
      </w:r>
      <w:r>
        <w:rPr>
          <w:rStyle w:val="SourceText"/>
        </w:rPr>
        <w:t>OpenID AIIM</w:t>
      </w:r>
      <w:r>
        <w:rPr/>
        <w:t xml:space="preserve">, the </w:t>
      </w:r>
      <w:r>
        <w:rPr>
          <w:rStyle w:val="SourceText"/>
        </w:rPr>
        <w:t>W3C</w:t>
      </w:r>
      <w:r>
        <w:rPr/>
        <w:t xml:space="preserve"> Agent Identity Registry Protocol Community Group, </w:t>
      </w:r>
      <w:r>
        <w:rPr>
          <w:rStyle w:val="SourceText"/>
        </w:rPr>
        <w:t>CoSAI</w:t>
      </w:r>
      <w:r>
        <w:rPr/>
        <w:t xml:space="preserve">, and relevant </w:t>
      </w:r>
      <w:r>
        <w:rPr>
          <w:rStyle w:val="SourceText"/>
        </w:rPr>
        <w:t>IETF</w:t>
      </w:r>
      <w:r>
        <w:rPr/>
        <w:t xml:space="preserve"> OAuth / </w:t>
      </w:r>
      <w:r>
        <w:rPr>
          <w:rStyle w:val="SourceText"/>
        </w:rPr>
        <w:t>GNAP</w:t>
      </w:r>
      <w:r>
        <w:rPr/>
        <w:t xml:space="preserve"> work, with later venue-specific profiles or registrations preserving the same identity and evidence semantics.</w:t>
      </w:r>
    </w:p>
    <w:p>
      <w:pPr>
        <w:pStyle w:val="Heading2"/>
        <w:bidi w:val="0"/>
        <w:jc w:val="left"/>
        <w:rPr/>
      </w:pPr>
      <w:r>
        <w:rPr/>
        <w:t>3. References</w:t>
      </w:r>
    </w:p>
    <w:p>
      <w:pPr>
        <w:pStyle w:val="Heading3"/>
        <w:bidi w:val="0"/>
        <w:jc w:val="left"/>
        <w:rPr/>
      </w:pPr>
      <w:r>
        <w:rPr/>
        <w:t>3.1 Normative References</w:t>
      </w:r>
    </w:p>
    <w:p>
      <w:pPr>
        <w:pStyle w:val="BodyText"/>
        <w:bidi w:val="0"/>
        <w:jc w:val="left"/>
        <w:rPr/>
      </w:pPr>
      <w:r>
        <w:rPr/>
        <w:t>The following companion standards are indispensable to applying this document:</w:t>
      </w:r>
    </w:p>
    <w:tbl>
      <w:tblPr>
        <w:tblW w:w="14639" w:type="dxa"/>
        <w:jc w:val="left"/>
        <w:tblInd w:w="0" w:type="dxa"/>
        <w:tblLayout w:type="fixed"/>
        <w:tblCellMar>
          <w:top w:w="28" w:type="dxa"/>
          <w:left w:w="28" w:type="dxa"/>
          <w:bottom w:w="28" w:type="dxa"/>
          <w:right w:w="28" w:type="dxa"/>
        </w:tblCellMar>
      </w:tblPr>
      <w:tblGrid>
        <w:gridCol w:w="3738"/>
        <w:gridCol w:w="10901"/>
      </w:tblGrid>
      <w:tr>
        <w:trPr>
          <w:tblHeader w:val="true"/>
        </w:trPr>
        <w:tc>
          <w:tcPr>
            <w:tcW w:w="3738" w:type="dxa"/>
            <w:tcBorders/>
            <w:vAlign w:val="center"/>
          </w:tcPr>
          <w:p>
            <w:pPr>
              <w:pStyle w:val="TableHeading"/>
              <w:suppressLineNumbers/>
              <w:bidi w:val="0"/>
              <w:spacing w:before="0" w:after="283"/>
              <w:jc w:val="center"/>
              <w:rPr/>
            </w:pPr>
            <w:r>
              <w:rPr/>
              <w:t>Reference</w:t>
            </w:r>
          </w:p>
        </w:tc>
        <w:tc>
          <w:tcPr>
            <w:tcW w:w="10901" w:type="dxa"/>
            <w:tcBorders/>
            <w:vAlign w:val="center"/>
          </w:tcPr>
          <w:p>
            <w:pPr>
              <w:pStyle w:val="TableHeading"/>
              <w:suppressLineNumbers/>
              <w:bidi w:val="0"/>
              <w:spacing w:before="0" w:after="283"/>
              <w:jc w:val="center"/>
              <w:rPr/>
            </w:pPr>
            <w:r>
              <w:rPr/>
              <w:t>Normative relationship</w:t>
            </w:r>
          </w:p>
        </w:tc>
      </w:tr>
      <w:tr>
        <w:trPr/>
        <w:tc>
          <w:tcPr>
            <w:tcW w:w="3738" w:type="dxa"/>
            <w:tcBorders/>
            <w:vAlign w:val="center"/>
          </w:tcPr>
          <w:p>
            <w:pPr>
              <w:pStyle w:val="TableContents"/>
              <w:bidi w:val="0"/>
              <w:spacing w:before="0" w:after="283"/>
              <w:jc w:val="left"/>
              <w:rPr/>
            </w:pPr>
            <w:hyperlink r:id="rId3">
              <w:r>
                <w:rPr>
                  <w:rStyle w:val="Hyperlink"/>
                </w:rPr>
                <w:t>Trusted AI Kernel</w:t>
              </w:r>
            </w:hyperlink>
          </w:p>
        </w:tc>
        <w:tc>
          <w:tcPr>
            <w:tcW w:w="10901" w:type="dxa"/>
            <w:tcBorders/>
            <w:vAlign w:val="center"/>
          </w:tcPr>
          <w:p>
            <w:pPr>
              <w:pStyle w:val="TableContents"/>
              <w:bidi w:val="0"/>
              <w:spacing w:before="0" w:after="283"/>
              <w:jc w:val="left"/>
              <w:rPr/>
            </w:pPr>
            <w:r>
              <w:rPr/>
              <w:t>Defines the runtime authority, enforcement, oversight, and evidence controls associated with an identified agent</w:t>
            </w:r>
          </w:p>
        </w:tc>
      </w:tr>
      <w:tr>
        <w:trPr/>
        <w:tc>
          <w:tcPr>
            <w:tcW w:w="3738" w:type="dxa"/>
            <w:tcBorders/>
            <w:vAlign w:val="center"/>
          </w:tcPr>
          <w:p>
            <w:pPr>
              <w:pStyle w:val="TableContents"/>
              <w:bidi w:val="0"/>
              <w:spacing w:before="0" w:after="283"/>
              <w:jc w:val="left"/>
              <w:rPr/>
            </w:pPr>
            <w:hyperlink r:id="rId4">
              <w:r>
                <w:rPr>
                  <w:rStyle w:val="Hyperlink"/>
                </w:rPr>
                <w:t>Job-Specific Intelligence (</w:t>
              </w:r>
              <w:r>
                <w:rPr>
                  <w:rStyle w:val="Hyperlink"/>
                  <w:rFonts w:ascii="Liberation Mono" w:hAnsi="Liberation Mono" w:eastAsia="Liberation Mono" w:cs="Liberation Mono"/>
                </w:rPr>
                <w:t>TAK-JSI</w:t>
              </w:r>
              <w:r>
                <w:rPr>
                  <w:rStyle w:val="Hyperlink"/>
                </w:rPr>
                <w:t>)</w:t>
              </w:r>
            </w:hyperlink>
          </w:p>
        </w:tc>
        <w:tc>
          <w:tcPr>
            <w:tcW w:w="10901" w:type="dxa"/>
            <w:tcBorders/>
            <w:vAlign w:val="center"/>
          </w:tcPr>
          <w:p>
            <w:pPr>
              <w:pStyle w:val="TableContents"/>
              <w:bidi w:val="0"/>
              <w:spacing w:before="0" w:after="283"/>
              <w:jc w:val="left"/>
              <w:rPr/>
            </w:pPr>
            <w:r>
              <w:rPr/>
              <w:t xml:space="preserve">Defines the qualification scheme whose scoped claims and status are carried by </w:t>
            </w:r>
            <w:r>
              <w:rPr>
                <w:rStyle w:val="SourceText"/>
              </w:rPr>
              <w:t>GAID</w:t>
            </w:r>
          </w:p>
        </w:tc>
      </w:tr>
    </w:tbl>
    <w:p>
      <w:pPr>
        <w:pStyle w:val="Heading3"/>
        <w:bidi w:val="0"/>
        <w:jc w:val="left"/>
        <w:rPr/>
      </w:pPr>
      <w:r>
        <w:rPr/>
        <w:t>3.2 Informative External References</w:t>
      </w:r>
    </w:p>
    <w:p>
      <w:pPr>
        <w:pStyle w:val="BodyText"/>
        <w:bidi w:val="0"/>
        <w:jc w:val="left"/>
        <w:rPr/>
      </w:pPr>
      <w:r>
        <w:rPr/>
        <w:t xml:space="preserve">The following references are relevant to this standard and informed its design. Publication in this table does not imply endorsement or wholesale normative incorporation. The exact relationship to each external work is maintained in the informative </w:t>
      </w:r>
      <w:hyperlink r:id="rId5">
        <w:r>
          <w:rPr>
            <w:rStyle w:val="Hyperlink"/>
          </w:rPr>
          <w:t>External Standards Alignment</w:t>
        </w:r>
      </w:hyperlink>
      <w:r>
        <w:rPr/>
        <w:t xml:space="preserve"> companion.</w:t>
      </w:r>
    </w:p>
    <w:tbl>
      <w:tblPr>
        <w:tblW w:w="27487" w:type="dxa"/>
        <w:jc w:val="left"/>
        <w:tblInd w:w="0" w:type="dxa"/>
        <w:tblLayout w:type="fixed"/>
        <w:tblCellMar>
          <w:top w:w="28" w:type="dxa"/>
          <w:left w:w="28" w:type="dxa"/>
          <w:bottom w:w="28" w:type="dxa"/>
          <w:right w:w="28" w:type="dxa"/>
        </w:tblCellMar>
      </w:tblPr>
      <w:tblGrid>
        <w:gridCol w:w="10104"/>
        <w:gridCol w:w="17383"/>
      </w:tblGrid>
      <w:tr>
        <w:trPr>
          <w:tblHeader w:val="true"/>
        </w:trPr>
        <w:tc>
          <w:tcPr>
            <w:tcW w:w="10104" w:type="dxa"/>
            <w:tcBorders/>
            <w:vAlign w:val="center"/>
          </w:tcPr>
          <w:p>
            <w:pPr>
              <w:pStyle w:val="TableHeading"/>
              <w:suppressLineNumbers/>
              <w:bidi w:val="0"/>
              <w:spacing w:before="0" w:after="283"/>
              <w:jc w:val="center"/>
              <w:rPr/>
            </w:pPr>
            <w:r>
              <w:rPr/>
              <w:t>Reference</w:t>
            </w:r>
          </w:p>
        </w:tc>
        <w:tc>
          <w:tcPr>
            <w:tcW w:w="17383" w:type="dxa"/>
            <w:tcBorders/>
            <w:vAlign w:val="center"/>
          </w:tcPr>
          <w:p>
            <w:pPr>
              <w:pStyle w:val="TableHeading"/>
              <w:suppressLineNumbers/>
              <w:bidi w:val="0"/>
              <w:spacing w:before="0" w:after="283"/>
              <w:jc w:val="center"/>
              <w:rPr/>
            </w:pPr>
            <w:r>
              <w:rPr/>
              <w:t>Relevance</w:t>
            </w:r>
          </w:p>
        </w:tc>
      </w:tr>
      <w:tr>
        <w:trPr/>
        <w:tc>
          <w:tcPr>
            <w:tcW w:w="10104" w:type="dxa"/>
            <w:tcBorders/>
            <w:vAlign w:val="center"/>
          </w:tcPr>
          <w:p>
            <w:pPr>
              <w:pStyle w:val="TableContents"/>
              <w:bidi w:val="0"/>
              <w:spacing w:before="0" w:after="283"/>
              <w:jc w:val="left"/>
              <w:rPr/>
            </w:pPr>
            <w:hyperlink r:id="rId6">
              <w:r>
                <w:rPr>
                  <w:rStyle w:val="Hyperlink"/>
                </w:rPr>
                <w:t>ISO/IEC 42001:2023</w:t>
              </w:r>
            </w:hyperlink>
          </w:p>
        </w:tc>
        <w:tc>
          <w:tcPr>
            <w:tcW w:w="17383" w:type="dxa"/>
            <w:tcBorders/>
            <w:vAlign w:val="center"/>
          </w:tcPr>
          <w:p>
            <w:pPr>
              <w:pStyle w:val="TableContents"/>
              <w:bidi w:val="0"/>
              <w:spacing w:before="0" w:after="283"/>
              <w:jc w:val="left"/>
              <w:rPr/>
            </w:pPr>
            <w:r>
              <w:rPr/>
              <w:t>Organization-level AI management systems</w:t>
            </w:r>
          </w:p>
        </w:tc>
      </w:tr>
      <w:tr>
        <w:trPr/>
        <w:tc>
          <w:tcPr>
            <w:tcW w:w="10104" w:type="dxa"/>
            <w:tcBorders/>
            <w:vAlign w:val="center"/>
          </w:tcPr>
          <w:p>
            <w:pPr>
              <w:pStyle w:val="TableContents"/>
              <w:bidi w:val="0"/>
              <w:spacing w:before="0" w:after="283"/>
              <w:jc w:val="left"/>
              <w:rPr/>
            </w:pPr>
            <w:hyperlink r:id="rId7">
              <w:r>
                <w:rPr>
                  <w:rStyle w:val="Hyperlink"/>
                </w:rPr>
                <w:t>ISO/IEC 17024:2026</w:t>
              </w:r>
            </w:hyperlink>
          </w:p>
        </w:tc>
        <w:tc>
          <w:tcPr>
            <w:tcW w:w="17383" w:type="dxa"/>
            <w:tcBorders/>
            <w:vAlign w:val="center"/>
          </w:tcPr>
          <w:p>
            <w:pPr>
              <w:pStyle w:val="TableContents"/>
              <w:bidi w:val="0"/>
              <w:spacing w:before="0" w:after="283"/>
              <w:jc w:val="left"/>
              <w:rPr/>
            </w:pPr>
            <w:r>
              <w:rPr/>
              <w:t xml:space="preserve">Competence-scheme, assessment, surveillance, and reassessment prior art profiled by </w:t>
            </w:r>
            <w:r>
              <w:rPr>
                <w:rStyle w:val="SourceText"/>
              </w:rPr>
              <w:t>TAK-JSI</w:t>
            </w:r>
          </w:p>
        </w:tc>
      </w:tr>
      <w:tr>
        <w:trPr/>
        <w:tc>
          <w:tcPr>
            <w:tcW w:w="10104" w:type="dxa"/>
            <w:tcBorders/>
            <w:vAlign w:val="center"/>
          </w:tcPr>
          <w:p>
            <w:pPr>
              <w:pStyle w:val="TableContents"/>
              <w:bidi w:val="0"/>
              <w:spacing w:before="0" w:after="283"/>
              <w:jc w:val="left"/>
              <w:rPr/>
            </w:pPr>
            <w:hyperlink r:id="rId8">
              <w:r>
                <w:rPr>
                  <w:rStyle w:val="Hyperlink"/>
                </w:rPr>
                <w:t>ISO/IEC 25059:2023</w:t>
              </w:r>
            </w:hyperlink>
          </w:p>
        </w:tc>
        <w:tc>
          <w:tcPr>
            <w:tcW w:w="17383" w:type="dxa"/>
            <w:tcBorders/>
            <w:vAlign w:val="center"/>
          </w:tcPr>
          <w:p>
            <w:pPr>
              <w:pStyle w:val="TableContents"/>
              <w:bidi w:val="0"/>
              <w:spacing w:before="0" w:after="283"/>
              <w:jc w:val="left"/>
              <w:rPr/>
            </w:pPr>
            <w:r>
              <w:rPr/>
              <w:t>AI-system quality characteristics for structured capability and qualification evidence</w:t>
            </w:r>
          </w:p>
        </w:tc>
      </w:tr>
      <w:tr>
        <w:trPr/>
        <w:tc>
          <w:tcPr>
            <w:tcW w:w="10104" w:type="dxa"/>
            <w:tcBorders/>
            <w:vAlign w:val="center"/>
          </w:tcPr>
          <w:p>
            <w:pPr>
              <w:pStyle w:val="TableContents"/>
              <w:bidi w:val="0"/>
              <w:spacing w:before="0" w:after="283"/>
              <w:jc w:val="left"/>
              <w:rPr/>
            </w:pPr>
            <w:hyperlink r:id="rId9">
              <w:r>
                <w:rPr>
                  <w:rStyle w:val="Hyperlink"/>
                </w:rPr>
                <w:t>ISO/IEC 5259-1:2024</w:t>
              </w:r>
            </w:hyperlink>
          </w:p>
        </w:tc>
        <w:tc>
          <w:tcPr>
            <w:tcW w:w="17383" w:type="dxa"/>
            <w:tcBorders/>
            <w:vAlign w:val="center"/>
          </w:tcPr>
          <w:p>
            <w:pPr>
              <w:pStyle w:val="TableContents"/>
              <w:bidi w:val="0"/>
              <w:spacing w:before="0" w:after="283"/>
              <w:jc w:val="left"/>
              <w:rPr/>
            </w:pPr>
            <w:r>
              <w:rPr/>
              <w:t>AI data-quality concepts and terminology</w:t>
            </w:r>
          </w:p>
        </w:tc>
      </w:tr>
      <w:tr>
        <w:trPr/>
        <w:tc>
          <w:tcPr>
            <w:tcW w:w="10104" w:type="dxa"/>
            <w:tcBorders/>
            <w:vAlign w:val="center"/>
          </w:tcPr>
          <w:p>
            <w:pPr>
              <w:pStyle w:val="TableContents"/>
              <w:bidi w:val="0"/>
              <w:spacing w:before="0" w:after="283"/>
              <w:jc w:val="left"/>
              <w:rPr/>
            </w:pPr>
            <w:hyperlink r:id="rId10">
              <w:r>
                <w:rPr>
                  <w:rStyle w:val="Hyperlink"/>
                </w:rPr>
                <w:t>ISO/IEC 5259-2:2024</w:t>
              </w:r>
            </w:hyperlink>
          </w:p>
        </w:tc>
        <w:tc>
          <w:tcPr>
            <w:tcW w:w="17383" w:type="dxa"/>
            <w:tcBorders/>
            <w:vAlign w:val="center"/>
          </w:tcPr>
          <w:p>
            <w:pPr>
              <w:pStyle w:val="TableContents"/>
              <w:bidi w:val="0"/>
              <w:spacing w:before="0" w:after="283"/>
              <w:jc w:val="left"/>
              <w:rPr/>
            </w:pPr>
            <w:r>
              <w:rPr/>
              <w:t>AI data-quality measures relevant to evidence and qualification scope</w:t>
            </w:r>
          </w:p>
        </w:tc>
      </w:tr>
      <w:tr>
        <w:trPr/>
        <w:tc>
          <w:tcPr>
            <w:tcW w:w="10104" w:type="dxa"/>
            <w:tcBorders/>
            <w:vAlign w:val="center"/>
          </w:tcPr>
          <w:p>
            <w:pPr>
              <w:pStyle w:val="TableContents"/>
              <w:bidi w:val="0"/>
              <w:spacing w:before="0" w:after="283"/>
              <w:jc w:val="left"/>
              <w:rPr/>
            </w:pPr>
            <w:hyperlink r:id="rId11">
              <w:r>
                <w:rPr>
                  <w:rStyle w:val="Hyperlink"/>
                </w:rPr>
                <w:t>ISO/IEC 5259-5:2025</w:t>
              </w:r>
            </w:hyperlink>
          </w:p>
        </w:tc>
        <w:tc>
          <w:tcPr>
            <w:tcW w:w="17383" w:type="dxa"/>
            <w:tcBorders/>
            <w:vAlign w:val="center"/>
          </w:tcPr>
          <w:p>
            <w:pPr>
              <w:pStyle w:val="TableContents"/>
              <w:bidi w:val="0"/>
              <w:spacing w:before="0" w:after="283"/>
              <w:jc w:val="left"/>
              <w:rPr/>
            </w:pPr>
            <w:r>
              <w:rPr/>
              <w:t>Data-quality governance and stewardship relevant to qualification claims</w:t>
            </w:r>
          </w:p>
        </w:tc>
      </w:tr>
      <w:tr>
        <w:trPr/>
        <w:tc>
          <w:tcPr>
            <w:tcW w:w="10104" w:type="dxa"/>
            <w:tcBorders/>
            <w:vAlign w:val="center"/>
          </w:tcPr>
          <w:p>
            <w:pPr>
              <w:pStyle w:val="TableContents"/>
              <w:bidi w:val="0"/>
              <w:spacing w:before="0" w:after="283"/>
              <w:jc w:val="left"/>
              <w:rPr/>
            </w:pPr>
            <w:hyperlink r:id="rId12">
              <w:r>
                <w:rPr>
                  <w:rStyle w:val="Hyperlink"/>
                </w:rPr>
                <w:t>ISO/IEC 12792:2025</w:t>
              </w:r>
            </w:hyperlink>
          </w:p>
        </w:tc>
        <w:tc>
          <w:tcPr>
            <w:tcW w:w="17383" w:type="dxa"/>
            <w:tcBorders/>
            <w:vAlign w:val="center"/>
          </w:tcPr>
          <w:p>
            <w:pPr>
              <w:pStyle w:val="TableContents"/>
              <w:bidi w:val="0"/>
              <w:spacing w:before="0" w:after="283"/>
              <w:jc w:val="left"/>
              <w:rPr/>
            </w:pPr>
            <w:r>
              <w:rPr/>
              <w:t xml:space="preserve">Transparency taxonomy for AI systems relevant to </w:t>
            </w:r>
            <w:r>
              <w:rPr>
                <w:rStyle w:val="SourceText"/>
              </w:rPr>
              <w:t>AIDoc</w:t>
            </w:r>
            <w:r>
              <w:rPr/>
              <w:t xml:space="preserve"> and badge disclosure posture</w:t>
            </w:r>
          </w:p>
        </w:tc>
      </w:tr>
      <w:tr>
        <w:trPr/>
        <w:tc>
          <w:tcPr>
            <w:tcW w:w="10104" w:type="dxa"/>
            <w:tcBorders/>
            <w:vAlign w:val="center"/>
          </w:tcPr>
          <w:p>
            <w:pPr>
              <w:pStyle w:val="TableContents"/>
              <w:bidi w:val="0"/>
              <w:spacing w:before="0" w:after="283"/>
              <w:jc w:val="left"/>
              <w:rPr/>
            </w:pPr>
            <w:hyperlink r:id="rId13">
              <w:r>
                <w:rPr>
                  <w:rStyle w:val="Hyperlink"/>
                </w:rPr>
                <w:t>ISO/IEC DIS 42102</w:t>
              </w:r>
            </w:hyperlink>
          </w:p>
        </w:tc>
        <w:tc>
          <w:tcPr>
            <w:tcW w:w="17383" w:type="dxa"/>
            <w:tcBorders/>
            <w:vAlign w:val="center"/>
          </w:tcPr>
          <w:p>
            <w:pPr>
              <w:pStyle w:val="TableContents"/>
              <w:bidi w:val="0"/>
              <w:spacing w:before="0" w:after="283"/>
              <w:jc w:val="left"/>
              <w:rPr/>
            </w:pPr>
            <w:r>
              <w:rPr/>
              <w:t>Framework for characterizing AI system methods and capabilities</w:t>
            </w:r>
          </w:p>
        </w:tc>
      </w:tr>
      <w:tr>
        <w:trPr/>
        <w:tc>
          <w:tcPr>
            <w:tcW w:w="10104" w:type="dxa"/>
            <w:tcBorders/>
            <w:vAlign w:val="center"/>
          </w:tcPr>
          <w:p>
            <w:pPr>
              <w:pStyle w:val="TableContents"/>
              <w:bidi w:val="0"/>
              <w:spacing w:before="0" w:after="283"/>
              <w:jc w:val="left"/>
              <w:rPr/>
            </w:pPr>
            <w:hyperlink r:id="rId14">
              <w:r>
                <w:rPr>
                  <w:rStyle w:val="Hyperlink"/>
                </w:rPr>
                <w:t>NIST AI RMF 1.0</w:t>
              </w:r>
            </w:hyperlink>
          </w:p>
        </w:tc>
        <w:tc>
          <w:tcPr>
            <w:tcW w:w="17383" w:type="dxa"/>
            <w:tcBorders/>
            <w:vAlign w:val="center"/>
          </w:tcPr>
          <w:p>
            <w:pPr>
              <w:pStyle w:val="TableContents"/>
              <w:bidi w:val="0"/>
              <w:spacing w:before="0" w:after="283"/>
              <w:jc w:val="left"/>
              <w:rPr/>
            </w:pPr>
            <w:r>
              <w:rPr/>
              <w:t>Risk management framing for AI systems</w:t>
            </w:r>
          </w:p>
        </w:tc>
      </w:tr>
      <w:tr>
        <w:trPr/>
        <w:tc>
          <w:tcPr>
            <w:tcW w:w="10104" w:type="dxa"/>
            <w:tcBorders/>
            <w:vAlign w:val="center"/>
          </w:tcPr>
          <w:p>
            <w:pPr>
              <w:pStyle w:val="TableContents"/>
              <w:bidi w:val="0"/>
              <w:spacing w:before="0" w:after="283"/>
              <w:jc w:val="left"/>
              <w:rPr/>
            </w:pPr>
            <w:hyperlink r:id="rId15">
              <w:r>
                <w:rPr>
                  <w:rStyle w:val="Hyperlink"/>
                </w:rPr>
                <w:t>NIST AI Agent Standards Initiative</w:t>
              </w:r>
            </w:hyperlink>
          </w:p>
        </w:tc>
        <w:tc>
          <w:tcPr>
            <w:tcW w:w="17383" w:type="dxa"/>
            <w:tcBorders/>
            <w:vAlign w:val="center"/>
          </w:tcPr>
          <w:p>
            <w:pPr>
              <w:pStyle w:val="TableContents"/>
              <w:bidi w:val="0"/>
              <w:spacing w:before="0" w:after="283"/>
              <w:jc w:val="left"/>
              <w:rPr/>
            </w:pPr>
            <w:r>
              <w:rPr/>
              <w:t>Current U.S. public-sector standards activity for agent interoperability, identity, security, and evaluation</w:t>
            </w:r>
          </w:p>
        </w:tc>
      </w:tr>
      <w:tr>
        <w:trPr/>
        <w:tc>
          <w:tcPr>
            <w:tcW w:w="10104" w:type="dxa"/>
            <w:tcBorders/>
            <w:vAlign w:val="center"/>
          </w:tcPr>
          <w:p>
            <w:pPr>
              <w:pStyle w:val="TableContents"/>
              <w:bidi w:val="0"/>
              <w:spacing w:before="0" w:after="283"/>
              <w:jc w:val="left"/>
              <w:rPr/>
            </w:pPr>
            <w:hyperlink r:id="rId16">
              <w:r>
                <w:rPr>
                  <w:rStyle w:val="Hyperlink"/>
                </w:rPr>
                <w:t>NCCoE concept paper: Accelerating the Adoption of Software and AI Agent Identity and Authorization</w:t>
              </w:r>
            </w:hyperlink>
          </w:p>
        </w:tc>
        <w:tc>
          <w:tcPr>
            <w:tcW w:w="17383" w:type="dxa"/>
            <w:tcBorders/>
            <w:vAlign w:val="center"/>
          </w:tcPr>
          <w:p>
            <w:pPr>
              <w:pStyle w:val="TableContents"/>
              <w:bidi w:val="0"/>
              <w:spacing w:before="0" w:after="283"/>
              <w:jc w:val="left"/>
              <w:rPr/>
            </w:pPr>
            <w:r>
              <w:rPr/>
              <w:t>Identity, authorization, auditing, and non-repudiation concerns for agents</w:t>
            </w:r>
          </w:p>
        </w:tc>
      </w:tr>
      <w:tr>
        <w:trPr/>
        <w:tc>
          <w:tcPr>
            <w:tcW w:w="10104" w:type="dxa"/>
            <w:tcBorders/>
            <w:vAlign w:val="center"/>
          </w:tcPr>
          <w:p>
            <w:pPr>
              <w:pStyle w:val="TableContents"/>
              <w:bidi w:val="0"/>
              <w:spacing w:before="0" w:after="283"/>
              <w:jc w:val="left"/>
              <w:rPr/>
            </w:pPr>
            <w:hyperlink r:id="rId17">
              <w:r>
                <w:rPr>
                  <w:rStyle w:val="Hyperlink"/>
                </w:rPr>
                <w:t>OpenID Foundation AIIM Community Group</w:t>
              </w:r>
            </w:hyperlink>
          </w:p>
        </w:tc>
        <w:tc>
          <w:tcPr>
            <w:tcW w:w="17383" w:type="dxa"/>
            <w:tcBorders/>
            <w:vAlign w:val="center"/>
          </w:tcPr>
          <w:p>
            <w:pPr>
              <w:pStyle w:val="TableContents"/>
              <w:bidi w:val="0"/>
              <w:spacing w:before="0" w:after="283"/>
              <w:jc w:val="left"/>
              <w:rPr/>
            </w:pPr>
            <w:r>
              <w:rPr/>
              <w:t>Open identity-community venue focused on AI agent identity, modularization, and liaison work</w:t>
            </w:r>
          </w:p>
        </w:tc>
      </w:tr>
      <w:tr>
        <w:trPr/>
        <w:tc>
          <w:tcPr>
            <w:tcW w:w="10104" w:type="dxa"/>
            <w:tcBorders/>
            <w:vAlign w:val="center"/>
          </w:tcPr>
          <w:p>
            <w:pPr>
              <w:pStyle w:val="TableContents"/>
              <w:bidi w:val="0"/>
              <w:spacing w:before="0" w:after="283"/>
              <w:jc w:val="left"/>
              <w:rPr/>
            </w:pPr>
            <w:hyperlink r:id="rId18">
              <w:r>
                <w:rPr>
                  <w:rStyle w:val="Hyperlink"/>
                </w:rPr>
                <w:t>OpenID Foundation: Identity Management for Agentic AI</w:t>
              </w:r>
            </w:hyperlink>
          </w:p>
        </w:tc>
        <w:tc>
          <w:tcPr>
            <w:tcW w:w="17383" w:type="dxa"/>
            <w:tcBorders/>
            <w:vAlign w:val="center"/>
          </w:tcPr>
          <w:p>
            <w:pPr>
              <w:pStyle w:val="TableContents"/>
              <w:bidi w:val="0"/>
              <w:spacing w:before="0" w:after="283"/>
              <w:jc w:val="left"/>
              <w:rPr/>
            </w:pPr>
            <w:r>
              <w:rPr/>
              <w:t>Agent identity, authorization, and interoperability white paper from the AIIM community</w:t>
            </w:r>
          </w:p>
        </w:tc>
      </w:tr>
      <w:tr>
        <w:trPr/>
        <w:tc>
          <w:tcPr>
            <w:tcW w:w="10104" w:type="dxa"/>
            <w:tcBorders/>
            <w:vAlign w:val="center"/>
          </w:tcPr>
          <w:p>
            <w:pPr>
              <w:pStyle w:val="TableContents"/>
              <w:bidi w:val="0"/>
              <w:spacing w:before="0" w:after="283"/>
              <w:jc w:val="left"/>
              <w:rPr/>
            </w:pPr>
            <w:hyperlink r:id="rId19">
              <w:r>
                <w:rPr>
                  <w:rStyle w:val="Hyperlink"/>
                </w:rPr>
                <w:t>OIDF response to NIST on AI agent security</w:t>
              </w:r>
            </w:hyperlink>
          </w:p>
        </w:tc>
        <w:tc>
          <w:tcPr>
            <w:tcW w:w="17383" w:type="dxa"/>
            <w:tcBorders/>
            <w:vAlign w:val="center"/>
          </w:tcPr>
          <w:p>
            <w:pPr>
              <w:pStyle w:val="TableContents"/>
              <w:bidi w:val="0"/>
              <w:spacing w:before="0" w:after="283"/>
              <w:jc w:val="left"/>
              <w:rPr/>
            </w:pPr>
            <w:r>
              <w:rPr/>
              <w:t>Threat-model and identity-layer response to current U.S. agent security policy work</w:t>
            </w:r>
          </w:p>
        </w:tc>
      </w:tr>
      <w:tr>
        <w:trPr/>
        <w:tc>
          <w:tcPr>
            <w:tcW w:w="10104" w:type="dxa"/>
            <w:tcBorders/>
            <w:vAlign w:val="center"/>
          </w:tcPr>
          <w:p>
            <w:pPr>
              <w:pStyle w:val="TableContents"/>
              <w:bidi w:val="0"/>
              <w:spacing w:before="0" w:after="283"/>
              <w:jc w:val="left"/>
              <w:rPr/>
            </w:pPr>
            <w:hyperlink r:id="rId20">
              <w:r>
                <w:rPr>
                  <w:rStyle w:val="Hyperlink"/>
                </w:rPr>
                <w:t>W3C Agent Identity Registry Protocol Community Group</w:t>
              </w:r>
            </w:hyperlink>
          </w:p>
        </w:tc>
        <w:tc>
          <w:tcPr>
            <w:tcW w:w="17383" w:type="dxa"/>
            <w:tcBorders/>
            <w:vAlign w:val="center"/>
          </w:tcPr>
          <w:p>
            <w:pPr>
              <w:pStyle w:val="TableContents"/>
              <w:bidi w:val="0"/>
              <w:spacing w:before="0" w:after="283"/>
              <w:jc w:val="left"/>
              <w:rPr/>
            </w:pPr>
            <w:r>
              <w:rPr/>
              <w:t>Active W3C venue for verifiable AI agent identity infrastructure and liaison positioning</w:t>
            </w:r>
          </w:p>
        </w:tc>
      </w:tr>
      <w:tr>
        <w:trPr/>
        <w:tc>
          <w:tcPr>
            <w:tcW w:w="10104" w:type="dxa"/>
            <w:tcBorders/>
            <w:vAlign w:val="center"/>
          </w:tcPr>
          <w:p>
            <w:pPr>
              <w:pStyle w:val="TableContents"/>
              <w:bidi w:val="0"/>
              <w:spacing w:before="0" w:after="283"/>
              <w:jc w:val="left"/>
              <w:rPr/>
            </w:pPr>
            <w:hyperlink r:id="rId21">
              <w:r>
                <w:rPr>
                  <w:rStyle w:val="Hyperlink"/>
                </w:rPr>
                <w:t>W3C Agent Declaration and Assurance Community Group</w:t>
              </w:r>
            </w:hyperlink>
          </w:p>
        </w:tc>
        <w:tc>
          <w:tcPr>
            <w:tcW w:w="17383" w:type="dxa"/>
            <w:tcBorders/>
            <w:vAlign w:val="center"/>
          </w:tcPr>
          <w:p>
            <w:pPr>
              <w:pStyle w:val="TableContents"/>
              <w:bidi w:val="0"/>
              <w:spacing w:before="0" w:after="283"/>
              <w:jc w:val="left"/>
              <w:rPr/>
            </w:pPr>
            <w:r>
              <w:rPr/>
              <w:t xml:space="preserve">Active W3C work on agent manifests, ownership, operating boundaries, conformance profiles, and runtime assurance; the closest direct overlap with </w:t>
            </w:r>
            <w:r>
              <w:rPr>
                <w:rStyle w:val="SourceText"/>
              </w:rPr>
              <w:t>AIDoc</w:t>
            </w:r>
          </w:p>
        </w:tc>
      </w:tr>
      <w:tr>
        <w:trPr/>
        <w:tc>
          <w:tcPr>
            <w:tcW w:w="10104" w:type="dxa"/>
            <w:tcBorders/>
            <w:vAlign w:val="center"/>
          </w:tcPr>
          <w:p>
            <w:pPr>
              <w:pStyle w:val="TableContents"/>
              <w:bidi w:val="0"/>
              <w:spacing w:before="0" w:after="283"/>
              <w:jc w:val="left"/>
              <w:rPr/>
            </w:pPr>
            <w:hyperlink r:id="rId22">
              <w:r>
                <w:rPr>
                  <w:rStyle w:val="Hyperlink"/>
                </w:rPr>
                <w:t>W3C Agent Trust Protocol Community Group</w:t>
              </w:r>
            </w:hyperlink>
          </w:p>
        </w:tc>
        <w:tc>
          <w:tcPr>
            <w:tcW w:w="17383" w:type="dxa"/>
            <w:tcBorders/>
            <w:vAlign w:val="center"/>
          </w:tcPr>
          <w:p>
            <w:pPr>
              <w:pStyle w:val="TableContents"/>
              <w:bidi w:val="0"/>
              <w:spacing w:before="0" w:after="283"/>
              <w:jc w:val="left"/>
              <w:rPr/>
            </w:pPr>
            <w:r>
              <w:rPr/>
              <w:t xml:space="preserve">Active W3C work on agent trust, privacy, credentials, and conformance testing; complementary to contextual </w:t>
            </w:r>
            <w:r>
              <w:rPr>
                <w:rStyle w:val="SourceText"/>
              </w:rPr>
              <w:t>GAID</w:t>
            </w:r>
            <w:r>
              <w:rPr/>
              <w:t xml:space="preserve"> assurance claims</w:t>
            </w:r>
          </w:p>
        </w:tc>
      </w:tr>
      <w:tr>
        <w:trPr/>
        <w:tc>
          <w:tcPr>
            <w:tcW w:w="10104" w:type="dxa"/>
            <w:tcBorders/>
            <w:vAlign w:val="center"/>
          </w:tcPr>
          <w:p>
            <w:pPr>
              <w:pStyle w:val="TableContents"/>
              <w:bidi w:val="0"/>
              <w:spacing w:before="0" w:after="283"/>
              <w:jc w:val="left"/>
              <w:rPr/>
            </w:pPr>
            <w:hyperlink r:id="rId23">
              <w:r>
                <w:rPr>
                  <w:rStyle w:val="Hyperlink"/>
                </w:rPr>
                <w:t>CoSAI: Agentic Identity and Access Management</w:t>
              </w:r>
            </w:hyperlink>
          </w:p>
        </w:tc>
        <w:tc>
          <w:tcPr>
            <w:tcW w:w="17383" w:type="dxa"/>
            <w:tcBorders/>
            <w:vAlign w:val="center"/>
          </w:tcPr>
          <w:p>
            <w:pPr>
              <w:pStyle w:val="TableContents"/>
              <w:bidi w:val="0"/>
              <w:spacing w:before="0" w:after="283"/>
              <w:jc w:val="left"/>
              <w:rPr/>
            </w:pPr>
            <w:r>
              <w:rPr/>
              <w:t>Practical enterprise model for representing and governing AI agent identities</w:t>
            </w:r>
          </w:p>
        </w:tc>
      </w:tr>
      <w:tr>
        <w:trPr/>
        <w:tc>
          <w:tcPr>
            <w:tcW w:w="10104" w:type="dxa"/>
            <w:tcBorders/>
            <w:vAlign w:val="center"/>
          </w:tcPr>
          <w:p>
            <w:pPr>
              <w:pStyle w:val="TableContents"/>
              <w:bidi w:val="0"/>
              <w:spacing w:before="0" w:after="283"/>
              <w:jc w:val="left"/>
              <w:rPr/>
            </w:pPr>
            <w:hyperlink r:id="rId24">
              <w:r>
                <w:rPr>
                  <w:rStyle w:val="Hyperlink"/>
                </w:rPr>
                <w:t>Model Context Protocol specification</w:t>
              </w:r>
            </w:hyperlink>
          </w:p>
        </w:tc>
        <w:tc>
          <w:tcPr>
            <w:tcW w:w="17383" w:type="dxa"/>
            <w:tcBorders/>
            <w:vAlign w:val="center"/>
          </w:tcPr>
          <w:p>
            <w:pPr>
              <w:pStyle w:val="TableContents"/>
              <w:bidi w:val="0"/>
              <w:spacing w:before="0" w:after="283"/>
              <w:jc w:val="left"/>
              <w:rPr/>
            </w:pPr>
            <w:r>
              <w:rPr/>
              <w:t>Tool and context interoperability</w:t>
            </w:r>
          </w:p>
        </w:tc>
      </w:tr>
      <w:tr>
        <w:trPr/>
        <w:tc>
          <w:tcPr>
            <w:tcW w:w="10104" w:type="dxa"/>
            <w:tcBorders/>
            <w:vAlign w:val="center"/>
          </w:tcPr>
          <w:p>
            <w:pPr>
              <w:pStyle w:val="TableContents"/>
              <w:bidi w:val="0"/>
              <w:spacing w:before="0" w:after="283"/>
              <w:jc w:val="left"/>
              <w:rPr/>
            </w:pPr>
            <w:hyperlink r:id="rId25">
              <w:r>
                <w:rPr>
                  <w:rStyle w:val="Hyperlink"/>
                </w:rPr>
                <w:t>Model Context Protocol authorization specification</w:t>
              </w:r>
            </w:hyperlink>
          </w:p>
        </w:tc>
        <w:tc>
          <w:tcPr>
            <w:tcW w:w="17383" w:type="dxa"/>
            <w:tcBorders/>
            <w:vAlign w:val="center"/>
          </w:tcPr>
          <w:p>
            <w:pPr>
              <w:pStyle w:val="TableContents"/>
              <w:bidi w:val="0"/>
              <w:spacing w:before="0" w:after="283"/>
              <w:jc w:val="left"/>
              <w:rPr/>
            </w:pPr>
            <w:r>
              <w:rPr/>
              <w:t>OAuth-based authorization profile for protected MCP deployments</w:t>
            </w:r>
          </w:p>
        </w:tc>
      </w:tr>
      <w:tr>
        <w:trPr/>
        <w:tc>
          <w:tcPr>
            <w:tcW w:w="10104" w:type="dxa"/>
            <w:tcBorders/>
            <w:vAlign w:val="center"/>
          </w:tcPr>
          <w:p>
            <w:pPr>
              <w:pStyle w:val="TableContents"/>
              <w:bidi w:val="0"/>
              <w:spacing w:before="0" w:after="283"/>
              <w:jc w:val="left"/>
              <w:rPr/>
            </w:pPr>
            <w:hyperlink r:id="rId26">
              <w:r>
                <w:rPr>
                  <w:rStyle w:val="Hyperlink"/>
                </w:rPr>
                <w:t>Anthropic: Introducing the Model Context Protocol</w:t>
              </w:r>
            </w:hyperlink>
          </w:p>
        </w:tc>
        <w:tc>
          <w:tcPr>
            <w:tcW w:w="17383" w:type="dxa"/>
            <w:tcBorders/>
            <w:vAlign w:val="center"/>
          </w:tcPr>
          <w:p>
            <w:pPr>
              <w:pStyle w:val="TableContents"/>
              <w:bidi w:val="0"/>
              <w:spacing w:before="0" w:after="283"/>
              <w:jc w:val="left"/>
              <w:rPr/>
            </w:pPr>
            <w:r>
              <w:rPr/>
              <w:t>Background on MCP as an open protocol</w:t>
            </w:r>
          </w:p>
        </w:tc>
      </w:tr>
      <w:tr>
        <w:trPr/>
        <w:tc>
          <w:tcPr>
            <w:tcW w:w="10104" w:type="dxa"/>
            <w:tcBorders/>
            <w:vAlign w:val="center"/>
          </w:tcPr>
          <w:p>
            <w:pPr>
              <w:pStyle w:val="TableContents"/>
              <w:bidi w:val="0"/>
              <w:spacing w:before="0" w:after="283"/>
              <w:jc w:val="left"/>
              <w:rPr/>
            </w:pPr>
            <w:hyperlink r:id="rId27">
              <w:r>
                <w:rPr>
                  <w:rStyle w:val="Hyperlink"/>
                </w:rPr>
                <w:t>Agent2Agent Protocol v1.0 specification</w:t>
              </w:r>
            </w:hyperlink>
          </w:p>
        </w:tc>
        <w:tc>
          <w:tcPr>
            <w:tcW w:w="17383" w:type="dxa"/>
            <w:tcBorders/>
            <w:vAlign w:val="center"/>
          </w:tcPr>
          <w:p>
            <w:pPr>
              <w:pStyle w:val="TableContents"/>
              <w:bidi w:val="0"/>
              <w:spacing w:before="0" w:after="283"/>
              <w:jc w:val="left"/>
              <w:rPr/>
            </w:pPr>
            <w:r>
              <w:rPr/>
              <w:t>Agent-to-agent interoperability, discovery, task lifecycle, extension points, and implementation-defined identity/authorization boundaries</w:t>
            </w:r>
          </w:p>
        </w:tc>
      </w:tr>
      <w:tr>
        <w:trPr/>
        <w:tc>
          <w:tcPr>
            <w:tcW w:w="10104" w:type="dxa"/>
            <w:tcBorders/>
            <w:vAlign w:val="center"/>
          </w:tcPr>
          <w:p>
            <w:pPr>
              <w:pStyle w:val="TableContents"/>
              <w:bidi w:val="0"/>
              <w:spacing w:before="0" w:after="283"/>
              <w:jc w:val="left"/>
              <w:rPr/>
            </w:pPr>
            <w:hyperlink r:id="rId28">
              <w:r>
                <w:rPr>
                  <w:rStyle w:val="Hyperlink"/>
                </w:rPr>
                <w:t>A2A enterprise implementation guidance</w:t>
              </w:r>
            </w:hyperlink>
          </w:p>
        </w:tc>
        <w:tc>
          <w:tcPr>
            <w:tcW w:w="17383" w:type="dxa"/>
            <w:tcBorders/>
            <w:vAlign w:val="center"/>
          </w:tcPr>
          <w:p>
            <w:pPr>
              <w:pStyle w:val="TableContents"/>
              <w:bidi w:val="0"/>
              <w:spacing w:before="0" w:after="283"/>
              <w:jc w:val="left"/>
              <w:rPr/>
            </w:pPr>
            <w:r>
              <w:rPr/>
              <w:t>Enterprise transport security, authorization, minimization, observability, and auditing guidance; does not define agent-subject identity or cross-organization participation disclosure</w:t>
            </w:r>
          </w:p>
        </w:tc>
      </w:tr>
      <w:tr>
        <w:trPr/>
        <w:tc>
          <w:tcPr>
            <w:tcW w:w="10104" w:type="dxa"/>
            <w:tcBorders/>
            <w:vAlign w:val="center"/>
          </w:tcPr>
          <w:p>
            <w:pPr>
              <w:pStyle w:val="TableContents"/>
              <w:bidi w:val="0"/>
              <w:spacing w:before="0" w:after="283"/>
              <w:jc w:val="left"/>
              <w:rPr/>
            </w:pPr>
            <w:hyperlink r:id="rId29">
              <w:r>
                <w:rPr>
                  <w:rStyle w:val="Hyperlink"/>
                </w:rPr>
                <w:t>Google: Announcing the Agent2Agent Protocol</w:t>
              </w:r>
            </w:hyperlink>
          </w:p>
        </w:tc>
        <w:tc>
          <w:tcPr>
            <w:tcW w:w="17383" w:type="dxa"/>
            <w:tcBorders/>
            <w:vAlign w:val="center"/>
          </w:tcPr>
          <w:p>
            <w:pPr>
              <w:pStyle w:val="TableContents"/>
              <w:bidi w:val="0"/>
              <w:spacing w:before="0" w:after="283"/>
              <w:jc w:val="left"/>
              <w:rPr/>
            </w:pPr>
            <w:r>
              <w:rPr/>
              <w:t>Background on A2A as an open protocol</w:t>
            </w:r>
          </w:p>
        </w:tc>
      </w:tr>
      <w:tr>
        <w:trPr/>
        <w:tc>
          <w:tcPr>
            <w:tcW w:w="10104" w:type="dxa"/>
            <w:tcBorders/>
            <w:vAlign w:val="center"/>
          </w:tcPr>
          <w:p>
            <w:pPr>
              <w:pStyle w:val="TableContents"/>
              <w:bidi w:val="0"/>
              <w:spacing w:before="0" w:after="283"/>
              <w:jc w:val="left"/>
              <w:rPr/>
            </w:pPr>
            <w:hyperlink r:id="rId30">
              <w:r>
                <w:rPr>
                  <w:rStyle w:val="Hyperlink"/>
                </w:rPr>
                <w:t>Linux Foundation: Agentic AI Foundation announcement</w:t>
              </w:r>
            </w:hyperlink>
          </w:p>
        </w:tc>
        <w:tc>
          <w:tcPr>
            <w:tcW w:w="17383" w:type="dxa"/>
            <w:tcBorders/>
            <w:vAlign w:val="center"/>
          </w:tcPr>
          <w:p>
            <w:pPr>
              <w:pStyle w:val="TableContents"/>
              <w:bidi w:val="0"/>
              <w:spacing w:before="0" w:after="283"/>
              <w:jc w:val="left"/>
              <w:rPr/>
            </w:pPr>
            <w:r>
              <w:rPr/>
              <w:t xml:space="preserve">Neutral governance venue for MCP and </w:t>
            </w:r>
            <w:r>
              <w:rPr>
                <w:rStyle w:val="SourceText"/>
              </w:rPr>
              <w:t>AGENTS.md</w:t>
            </w:r>
            <w:r>
              <w:rPr/>
              <w:t xml:space="preserve"> stewardship</w:t>
            </w:r>
          </w:p>
        </w:tc>
      </w:tr>
      <w:tr>
        <w:trPr/>
        <w:tc>
          <w:tcPr>
            <w:tcW w:w="10104" w:type="dxa"/>
            <w:tcBorders/>
            <w:vAlign w:val="center"/>
          </w:tcPr>
          <w:p>
            <w:pPr>
              <w:pStyle w:val="TableContents"/>
              <w:bidi w:val="0"/>
              <w:spacing w:before="0" w:after="283"/>
              <w:jc w:val="left"/>
              <w:rPr/>
            </w:pPr>
            <w:hyperlink r:id="rId31">
              <w:r>
                <w:rPr>
                  <w:rStyle w:val="Hyperlink"/>
                </w:rPr>
                <w:t>RFC 4512 Lightweight Directory Access Protocol (LDAP): Directory Information Models</w:t>
              </w:r>
            </w:hyperlink>
          </w:p>
        </w:tc>
        <w:tc>
          <w:tcPr>
            <w:tcW w:w="17383" w:type="dxa"/>
            <w:tcBorders/>
            <w:vAlign w:val="center"/>
          </w:tcPr>
          <w:p>
            <w:pPr>
              <w:pStyle w:val="TableContents"/>
              <w:bidi w:val="0"/>
              <w:spacing w:before="0" w:after="283"/>
              <w:jc w:val="left"/>
              <w:rPr/>
            </w:pPr>
            <w:r>
              <w:rPr/>
              <w:t>Enterprise directory modeling relevant to internal agent identity projection</w:t>
            </w:r>
          </w:p>
        </w:tc>
      </w:tr>
      <w:tr>
        <w:trPr/>
        <w:tc>
          <w:tcPr>
            <w:tcW w:w="10104" w:type="dxa"/>
            <w:tcBorders/>
            <w:vAlign w:val="center"/>
          </w:tcPr>
          <w:p>
            <w:pPr>
              <w:pStyle w:val="TableContents"/>
              <w:bidi w:val="0"/>
              <w:spacing w:before="0" w:after="283"/>
              <w:jc w:val="left"/>
              <w:rPr/>
            </w:pPr>
            <w:hyperlink r:id="rId32">
              <w:r>
                <w:rPr>
                  <w:rStyle w:val="Hyperlink"/>
                </w:rPr>
                <w:t>RFC 7643 System for Cross-domain Identity Management: Core Schema</w:t>
              </w:r>
            </w:hyperlink>
          </w:p>
        </w:tc>
        <w:tc>
          <w:tcPr>
            <w:tcW w:w="17383" w:type="dxa"/>
            <w:tcBorders/>
            <w:vAlign w:val="center"/>
          </w:tcPr>
          <w:p>
            <w:pPr>
              <w:pStyle w:val="TableContents"/>
              <w:bidi w:val="0"/>
              <w:spacing w:before="0" w:after="283"/>
              <w:jc w:val="left"/>
              <w:rPr/>
            </w:pPr>
            <w:r>
              <w:rPr/>
              <w:t>Enterprise lifecycle and identity-provisioning schema baseline</w:t>
            </w:r>
          </w:p>
        </w:tc>
      </w:tr>
      <w:tr>
        <w:trPr/>
        <w:tc>
          <w:tcPr>
            <w:tcW w:w="10104" w:type="dxa"/>
            <w:tcBorders/>
            <w:vAlign w:val="center"/>
          </w:tcPr>
          <w:p>
            <w:pPr>
              <w:pStyle w:val="TableContents"/>
              <w:bidi w:val="0"/>
              <w:spacing w:before="0" w:after="283"/>
              <w:jc w:val="left"/>
              <w:rPr/>
            </w:pPr>
            <w:hyperlink r:id="rId33">
              <w:r>
                <w:rPr>
                  <w:rStyle w:val="Hyperlink"/>
                </w:rPr>
                <w:t>RFC 7644 System for Cross-domain Identity Management: Protocol</w:t>
              </w:r>
            </w:hyperlink>
          </w:p>
        </w:tc>
        <w:tc>
          <w:tcPr>
            <w:tcW w:w="17383" w:type="dxa"/>
            <w:tcBorders/>
            <w:vAlign w:val="center"/>
          </w:tcPr>
          <w:p>
            <w:pPr>
              <w:pStyle w:val="TableContents"/>
              <w:bidi w:val="0"/>
              <w:spacing w:before="0" w:after="283"/>
              <w:jc w:val="left"/>
              <w:rPr/>
            </w:pPr>
            <w:r>
              <w:rPr/>
              <w:t>Enterprise lifecycle and provisioning protocol baseline</w:t>
            </w:r>
          </w:p>
        </w:tc>
      </w:tr>
      <w:tr>
        <w:trPr/>
        <w:tc>
          <w:tcPr>
            <w:tcW w:w="10104" w:type="dxa"/>
            <w:tcBorders/>
            <w:vAlign w:val="center"/>
          </w:tcPr>
          <w:p>
            <w:pPr>
              <w:pStyle w:val="TableContents"/>
              <w:bidi w:val="0"/>
              <w:spacing w:before="0" w:after="283"/>
              <w:jc w:val="left"/>
              <w:rPr/>
            </w:pPr>
            <w:hyperlink r:id="rId34">
              <w:r>
                <w:rPr>
                  <w:rStyle w:val="Hyperlink"/>
                </w:rPr>
                <w:t>RFC 9728 OAuth 2.0 Protected Resource Metadata</w:t>
              </w:r>
            </w:hyperlink>
          </w:p>
        </w:tc>
        <w:tc>
          <w:tcPr>
            <w:tcW w:w="17383" w:type="dxa"/>
            <w:tcBorders/>
            <w:vAlign w:val="center"/>
          </w:tcPr>
          <w:p>
            <w:pPr>
              <w:pStyle w:val="TableContents"/>
              <w:bidi w:val="0"/>
              <w:spacing w:before="0" w:after="283"/>
              <w:jc w:val="left"/>
              <w:rPr/>
            </w:pPr>
            <w:r>
              <w:rPr/>
              <w:t>Protected-resource discovery and metadata model relevant to verifier and server trust surfaces</w:t>
            </w:r>
          </w:p>
        </w:tc>
      </w:tr>
      <w:tr>
        <w:trPr/>
        <w:tc>
          <w:tcPr>
            <w:tcW w:w="10104" w:type="dxa"/>
            <w:tcBorders/>
            <w:vAlign w:val="center"/>
          </w:tcPr>
          <w:p>
            <w:pPr>
              <w:pStyle w:val="TableContents"/>
              <w:bidi w:val="0"/>
              <w:spacing w:before="0" w:after="283"/>
              <w:jc w:val="left"/>
              <w:rPr/>
            </w:pPr>
            <w:hyperlink r:id="rId35">
              <w:r>
                <w:rPr>
                  <w:rStyle w:val="Hyperlink"/>
                </w:rPr>
                <w:t>RFC 9635 Grant Negotiation and Authorization Protocol (GNAP)</w:t>
              </w:r>
            </w:hyperlink>
          </w:p>
        </w:tc>
        <w:tc>
          <w:tcPr>
            <w:tcW w:w="17383" w:type="dxa"/>
            <w:tcBorders/>
            <w:vAlign w:val="center"/>
          </w:tcPr>
          <w:p>
            <w:pPr>
              <w:pStyle w:val="TableContents"/>
              <w:bidi w:val="0"/>
              <w:spacing w:before="0" w:after="283"/>
              <w:jc w:val="left"/>
              <w:rPr/>
            </w:pPr>
            <w:r>
              <w:rPr/>
              <w:t>Negotiated delegated authorization model for dynamic agent rights</w:t>
            </w:r>
          </w:p>
        </w:tc>
      </w:tr>
      <w:tr>
        <w:trPr/>
        <w:tc>
          <w:tcPr>
            <w:tcW w:w="10104" w:type="dxa"/>
            <w:tcBorders/>
            <w:vAlign w:val="center"/>
          </w:tcPr>
          <w:p>
            <w:pPr>
              <w:pStyle w:val="TableContents"/>
              <w:bidi w:val="0"/>
              <w:spacing w:before="0" w:after="283"/>
              <w:jc w:val="left"/>
              <w:rPr/>
            </w:pPr>
            <w:hyperlink r:id="rId36">
              <w:r>
                <w:rPr>
                  <w:rStyle w:val="Hyperlink"/>
                </w:rPr>
                <w:t>RFC 9767 GNAP Resource Server Connections</w:t>
              </w:r>
            </w:hyperlink>
          </w:p>
        </w:tc>
        <w:tc>
          <w:tcPr>
            <w:tcW w:w="17383" w:type="dxa"/>
            <w:tcBorders/>
            <w:vAlign w:val="center"/>
          </w:tcPr>
          <w:p>
            <w:pPr>
              <w:pStyle w:val="TableContents"/>
              <w:bidi w:val="0"/>
              <w:spacing w:before="0" w:after="283"/>
              <w:jc w:val="left"/>
              <w:rPr/>
            </w:pPr>
            <w:r>
              <w:rPr/>
              <w:t>Resource-server-facing GNAP model for binding access rights to protected resources</w:t>
            </w:r>
          </w:p>
        </w:tc>
      </w:tr>
      <w:tr>
        <w:trPr/>
        <w:tc>
          <w:tcPr>
            <w:tcW w:w="10104" w:type="dxa"/>
            <w:tcBorders/>
            <w:vAlign w:val="center"/>
          </w:tcPr>
          <w:p>
            <w:pPr>
              <w:pStyle w:val="TableContents"/>
              <w:bidi w:val="0"/>
              <w:spacing w:before="0" w:after="283"/>
              <w:jc w:val="left"/>
              <w:rPr/>
            </w:pPr>
            <w:hyperlink r:id="rId37">
              <w:r>
                <w:rPr>
                  <w:rStyle w:val="Hyperlink"/>
                </w:rPr>
                <w:t>RFC 9449 OAuth 2.0 Demonstrating Proof of Possession (DPoP)</w:t>
              </w:r>
            </w:hyperlink>
          </w:p>
        </w:tc>
        <w:tc>
          <w:tcPr>
            <w:tcW w:w="17383" w:type="dxa"/>
            <w:tcBorders/>
            <w:vAlign w:val="center"/>
          </w:tcPr>
          <w:p>
            <w:pPr>
              <w:pStyle w:val="TableContents"/>
              <w:bidi w:val="0"/>
              <w:spacing w:before="0" w:after="283"/>
              <w:jc w:val="left"/>
              <w:rPr/>
            </w:pPr>
            <w:r>
              <w:rPr/>
              <w:t>Sender-constrained token and proof binding for high-assurance agent requests</w:t>
            </w:r>
          </w:p>
        </w:tc>
      </w:tr>
      <w:tr>
        <w:trPr/>
        <w:tc>
          <w:tcPr>
            <w:tcW w:w="10104" w:type="dxa"/>
            <w:tcBorders/>
            <w:vAlign w:val="center"/>
          </w:tcPr>
          <w:p>
            <w:pPr>
              <w:pStyle w:val="TableContents"/>
              <w:bidi w:val="0"/>
              <w:spacing w:before="0" w:after="283"/>
              <w:jc w:val="left"/>
              <w:rPr/>
            </w:pPr>
            <w:hyperlink r:id="rId38">
              <w:r>
                <w:rPr>
                  <w:rStyle w:val="Hyperlink"/>
                </w:rPr>
                <w:t>IETF WIMSE working group</w:t>
              </w:r>
            </w:hyperlink>
          </w:p>
        </w:tc>
        <w:tc>
          <w:tcPr>
            <w:tcW w:w="17383" w:type="dxa"/>
            <w:tcBorders/>
            <w:vAlign w:val="center"/>
          </w:tcPr>
          <w:p>
            <w:pPr>
              <w:pStyle w:val="TableContents"/>
              <w:bidi w:val="0"/>
              <w:spacing w:before="0" w:after="283"/>
              <w:jc w:val="left"/>
              <w:rPr/>
            </w:pPr>
            <w:r>
              <w:rPr/>
              <w:t>Workload identity architecture, identifiers, credentials, and authentication mechanisms that may carry an agent's runtime identity</w:t>
            </w:r>
          </w:p>
        </w:tc>
      </w:tr>
      <w:tr>
        <w:trPr/>
        <w:tc>
          <w:tcPr>
            <w:tcW w:w="10104" w:type="dxa"/>
            <w:tcBorders/>
            <w:vAlign w:val="center"/>
          </w:tcPr>
          <w:p>
            <w:pPr>
              <w:pStyle w:val="TableContents"/>
              <w:bidi w:val="0"/>
              <w:spacing w:before="0" w:after="283"/>
              <w:jc w:val="left"/>
              <w:rPr/>
            </w:pPr>
            <w:hyperlink r:id="rId39">
              <w:r>
                <w:rPr>
                  <w:rStyle w:val="Hyperlink"/>
                </w:rPr>
                <w:t>WIMSE Applicability for AI Agents</w:t>
              </w:r>
            </w:hyperlink>
          </w:p>
        </w:tc>
        <w:tc>
          <w:tcPr>
            <w:tcW w:w="17383" w:type="dxa"/>
            <w:tcBorders/>
            <w:vAlign w:val="center"/>
          </w:tcPr>
          <w:p>
            <w:pPr>
              <w:pStyle w:val="TableContents"/>
              <w:bidi w:val="0"/>
              <w:spacing w:before="0" w:after="283"/>
              <w:jc w:val="left"/>
              <w:rPr/>
            </w:pPr>
            <w:r>
              <w:rPr/>
              <w:t>Active IETF draft applying workload identity to AI agents</w:t>
            </w:r>
          </w:p>
        </w:tc>
      </w:tr>
      <w:tr>
        <w:trPr/>
        <w:tc>
          <w:tcPr>
            <w:tcW w:w="10104" w:type="dxa"/>
            <w:tcBorders/>
            <w:vAlign w:val="center"/>
          </w:tcPr>
          <w:p>
            <w:pPr>
              <w:pStyle w:val="TableContents"/>
              <w:bidi w:val="0"/>
              <w:spacing w:before="0" w:after="283"/>
              <w:jc w:val="left"/>
              <w:rPr/>
            </w:pPr>
            <w:hyperlink r:id="rId40">
              <w:r>
                <w:rPr>
                  <w:rStyle w:val="Hyperlink"/>
                </w:rPr>
                <w:t>AI Agent Authentication and Authorization</w:t>
              </w:r>
            </w:hyperlink>
          </w:p>
        </w:tc>
        <w:tc>
          <w:tcPr>
            <w:tcW w:w="17383" w:type="dxa"/>
            <w:tcBorders/>
            <w:vAlign w:val="center"/>
          </w:tcPr>
          <w:p>
            <w:pPr>
              <w:pStyle w:val="TableContents"/>
              <w:bidi w:val="0"/>
              <w:spacing w:before="0" w:after="283"/>
              <w:jc w:val="left"/>
              <w:rPr/>
            </w:pPr>
            <w:r>
              <w:rPr/>
              <w:t>Active IETF draft for agent identifiers, credentials, authentication, authorization, delegation, and audit</w:t>
            </w:r>
          </w:p>
        </w:tc>
      </w:tr>
      <w:tr>
        <w:trPr/>
        <w:tc>
          <w:tcPr>
            <w:tcW w:w="10104" w:type="dxa"/>
            <w:tcBorders/>
            <w:vAlign w:val="center"/>
          </w:tcPr>
          <w:p>
            <w:pPr>
              <w:pStyle w:val="TableContents"/>
              <w:bidi w:val="0"/>
              <w:spacing w:before="0" w:after="283"/>
              <w:jc w:val="left"/>
              <w:rPr/>
            </w:pPr>
            <w:hyperlink r:id="rId41">
              <w:r>
                <w:rPr>
                  <w:rStyle w:val="Hyperlink"/>
                </w:rPr>
                <w:t>Signed Authorization-Evidence Records</w:t>
              </w:r>
            </w:hyperlink>
          </w:p>
        </w:tc>
        <w:tc>
          <w:tcPr>
            <w:tcW w:w="17383" w:type="dxa"/>
            <w:tcBorders/>
            <w:vAlign w:val="center"/>
          </w:tcPr>
          <w:p>
            <w:pPr>
              <w:pStyle w:val="TableContents"/>
              <w:bidi w:val="0"/>
              <w:spacing w:before="0" w:after="283"/>
              <w:jc w:val="left"/>
              <w:rPr/>
            </w:pPr>
            <w:r>
              <w:rPr/>
              <w:t xml:space="preserve">Active IETF draft for cryptographically attributable authorization evidence aligned with </w:t>
            </w:r>
            <w:r>
              <w:rPr>
                <w:rStyle w:val="SourceText"/>
              </w:rPr>
              <w:t>GAID</w:t>
            </w:r>
            <w:r>
              <w:rPr/>
              <w:t xml:space="preserve"> receipts</w:t>
            </w:r>
          </w:p>
        </w:tc>
      </w:tr>
      <w:tr>
        <w:trPr/>
        <w:tc>
          <w:tcPr>
            <w:tcW w:w="10104" w:type="dxa"/>
            <w:tcBorders/>
            <w:vAlign w:val="center"/>
          </w:tcPr>
          <w:p>
            <w:pPr>
              <w:pStyle w:val="TableContents"/>
              <w:bidi w:val="0"/>
              <w:spacing w:before="0" w:after="283"/>
              <w:jc w:val="left"/>
              <w:rPr/>
            </w:pPr>
            <w:hyperlink r:id="rId42">
              <w:r>
                <w:rPr>
                  <w:rStyle w:val="Hyperlink"/>
                </w:rPr>
                <w:t>Cross-Organizational Delegation for Workload and Agent Identity</w:t>
              </w:r>
            </w:hyperlink>
          </w:p>
        </w:tc>
        <w:tc>
          <w:tcPr>
            <w:tcW w:w="17383" w:type="dxa"/>
            <w:tcBorders/>
            <w:vAlign w:val="center"/>
          </w:tcPr>
          <w:p>
            <w:pPr>
              <w:pStyle w:val="TableContents"/>
              <w:bidi w:val="0"/>
              <w:spacing w:before="0" w:after="283"/>
              <w:jc w:val="left"/>
              <w:rPr/>
            </w:pPr>
            <w:r>
              <w:rPr/>
              <w:t>Active IETF requirements work for authority lineage across organizational and agent boundaries</w:t>
            </w:r>
          </w:p>
        </w:tc>
      </w:tr>
      <w:tr>
        <w:trPr/>
        <w:tc>
          <w:tcPr>
            <w:tcW w:w="10104" w:type="dxa"/>
            <w:tcBorders/>
            <w:vAlign w:val="center"/>
          </w:tcPr>
          <w:p>
            <w:pPr>
              <w:pStyle w:val="TableContents"/>
              <w:bidi w:val="0"/>
              <w:spacing w:before="0" w:after="283"/>
              <w:jc w:val="left"/>
              <w:rPr/>
            </w:pPr>
            <w:hyperlink r:id="rId43">
              <w:r>
                <w:rPr>
                  <w:rStyle w:val="Hyperlink"/>
                </w:rPr>
                <w:t>W3C Verifiable Credentials Data Model v2.0</w:t>
              </w:r>
            </w:hyperlink>
          </w:p>
        </w:tc>
        <w:tc>
          <w:tcPr>
            <w:tcW w:w="17383" w:type="dxa"/>
            <w:tcBorders/>
            <w:vAlign w:val="center"/>
          </w:tcPr>
          <w:p>
            <w:pPr>
              <w:pStyle w:val="TableContents"/>
              <w:bidi w:val="0"/>
              <w:spacing w:before="0" w:after="283"/>
              <w:jc w:val="left"/>
              <w:rPr/>
            </w:pPr>
            <w:r>
              <w:rPr/>
              <w:t>Credential format and issuer-verifier trust patterns</w:t>
            </w:r>
          </w:p>
        </w:tc>
      </w:tr>
      <w:tr>
        <w:trPr/>
        <w:tc>
          <w:tcPr>
            <w:tcW w:w="10104" w:type="dxa"/>
            <w:tcBorders/>
            <w:vAlign w:val="center"/>
          </w:tcPr>
          <w:p>
            <w:pPr>
              <w:pStyle w:val="TableContents"/>
              <w:bidi w:val="0"/>
              <w:spacing w:before="0" w:after="283"/>
              <w:jc w:val="left"/>
              <w:rPr/>
            </w:pPr>
            <w:hyperlink r:id="rId44">
              <w:r>
                <w:rPr>
                  <w:rStyle w:val="Hyperlink"/>
                </w:rPr>
                <w:t>1EdTech Open Badges 3.0</w:t>
              </w:r>
            </w:hyperlink>
          </w:p>
        </w:tc>
        <w:tc>
          <w:tcPr>
            <w:tcW w:w="17383" w:type="dxa"/>
            <w:tcBorders/>
            <w:vAlign w:val="center"/>
          </w:tcPr>
          <w:p>
            <w:pPr>
              <w:pStyle w:val="TableContents"/>
              <w:bidi w:val="0"/>
              <w:spacing w:before="0" w:after="283"/>
              <w:jc w:val="left"/>
              <w:rPr/>
            </w:pPr>
            <w:r>
              <w:rPr/>
              <w:t>Claim, evidence, result, issuer, status, and expiry patterns for portable qualification records</w:t>
            </w:r>
          </w:p>
        </w:tc>
      </w:tr>
      <w:tr>
        <w:trPr/>
        <w:tc>
          <w:tcPr>
            <w:tcW w:w="10104" w:type="dxa"/>
            <w:tcBorders/>
            <w:vAlign w:val="center"/>
          </w:tcPr>
          <w:p>
            <w:pPr>
              <w:pStyle w:val="TableContents"/>
              <w:bidi w:val="0"/>
              <w:spacing w:before="0" w:after="283"/>
              <w:jc w:val="left"/>
              <w:rPr/>
            </w:pPr>
            <w:hyperlink r:id="rId45">
              <w:r>
                <w:rPr>
                  <w:rStyle w:val="Hyperlink"/>
                </w:rPr>
                <w:t>Decentralized Identifiers (DIDs) v1.0</w:t>
              </w:r>
            </w:hyperlink>
          </w:p>
        </w:tc>
        <w:tc>
          <w:tcPr>
            <w:tcW w:w="17383" w:type="dxa"/>
            <w:tcBorders/>
            <w:vAlign w:val="center"/>
          </w:tcPr>
          <w:p>
            <w:pPr>
              <w:pStyle w:val="TableContents"/>
              <w:bidi w:val="0"/>
              <w:spacing w:before="0" w:after="283"/>
              <w:jc w:val="left"/>
              <w:rPr/>
            </w:pPr>
            <w:r>
              <w:rPr/>
              <w:t>Optional decentralized public identity profile for portable verification</w:t>
            </w:r>
          </w:p>
        </w:tc>
      </w:tr>
      <w:tr>
        <w:trPr/>
        <w:tc>
          <w:tcPr>
            <w:tcW w:w="10104" w:type="dxa"/>
            <w:tcBorders/>
            <w:vAlign w:val="center"/>
          </w:tcPr>
          <w:p>
            <w:pPr>
              <w:pStyle w:val="TableContents"/>
              <w:bidi w:val="0"/>
              <w:spacing w:before="0" w:after="283"/>
              <w:jc w:val="left"/>
              <w:rPr/>
            </w:pPr>
            <w:hyperlink r:id="rId46">
              <w:r>
                <w:rPr>
                  <w:rStyle w:val="Hyperlink"/>
                </w:rPr>
                <w:t>W3C Trace Context</w:t>
              </w:r>
            </w:hyperlink>
          </w:p>
        </w:tc>
        <w:tc>
          <w:tcPr>
            <w:tcW w:w="17383" w:type="dxa"/>
            <w:tcBorders/>
            <w:vAlign w:val="center"/>
          </w:tcPr>
          <w:p>
            <w:pPr>
              <w:pStyle w:val="TableContents"/>
              <w:bidi w:val="0"/>
              <w:spacing w:before="0" w:after="283"/>
              <w:jc w:val="left"/>
              <w:rPr/>
            </w:pPr>
            <w:r>
              <w:rPr/>
              <w:t>Cross-system trace propagation</w:t>
            </w:r>
          </w:p>
        </w:tc>
      </w:tr>
      <w:tr>
        <w:trPr/>
        <w:tc>
          <w:tcPr>
            <w:tcW w:w="10104" w:type="dxa"/>
            <w:tcBorders/>
            <w:vAlign w:val="center"/>
          </w:tcPr>
          <w:p>
            <w:pPr>
              <w:pStyle w:val="TableContents"/>
              <w:bidi w:val="0"/>
              <w:spacing w:before="0" w:after="283"/>
              <w:jc w:val="left"/>
              <w:rPr/>
            </w:pPr>
            <w:hyperlink r:id="rId47">
              <w:r>
                <w:rPr>
                  <w:rStyle w:val="Hyperlink"/>
                </w:rPr>
                <w:t>RFC 9421 HTTP Message Signatures</w:t>
              </w:r>
            </w:hyperlink>
          </w:p>
        </w:tc>
        <w:tc>
          <w:tcPr>
            <w:tcW w:w="17383" w:type="dxa"/>
            <w:tcBorders/>
            <w:vAlign w:val="center"/>
          </w:tcPr>
          <w:p>
            <w:pPr>
              <w:pStyle w:val="TableContents"/>
              <w:bidi w:val="0"/>
              <w:spacing w:before="0" w:after="283"/>
              <w:jc w:val="left"/>
              <w:rPr/>
            </w:pPr>
            <w:r>
              <w:rPr/>
              <w:t>Message-level integrity and signing</w:t>
            </w:r>
          </w:p>
        </w:tc>
      </w:tr>
      <w:tr>
        <w:trPr/>
        <w:tc>
          <w:tcPr>
            <w:tcW w:w="10104" w:type="dxa"/>
            <w:tcBorders/>
            <w:vAlign w:val="center"/>
          </w:tcPr>
          <w:p>
            <w:pPr>
              <w:pStyle w:val="TableContents"/>
              <w:bidi w:val="0"/>
              <w:spacing w:before="0" w:after="283"/>
              <w:jc w:val="left"/>
              <w:rPr/>
            </w:pPr>
            <w:hyperlink r:id="rId48">
              <w:r>
                <w:rPr>
                  <w:rStyle w:val="Hyperlink"/>
                </w:rPr>
                <w:t>RFC 9162 Certificate Transparency Version 2.0</w:t>
              </w:r>
            </w:hyperlink>
          </w:p>
        </w:tc>
        <w:tc>
          <w:tcPr>
            <w:tcW w:w="17383" w:type="dxa"/>
            <w:tcBorders/>
            <w:vAlign w:val="center"/>
          </w:tcPr>
          <w:p>
            <w:pPr>
              <w:pStyle w:val="TableContents"/>
              <w:bidi w:val="0"/>
              <w:spacing w:before="0" w:after="283"/>
              <w:jc w:val="left"/>
              <w:rPr/>
            </w:pPr>
            <w:r>
              <w:rPr/>
              <w:t>Public transparency log pattern for trust, status, and auditability (Experimental)</w:t>
            </w:r>
          </w:p>
        </w:tc>
      </w:tr>
      <w:tr>
        <w:trPr/>
        <w:tc>
          <w:tcPr>
            <w:tcW w:w="10104" w:type="dxa"/>
            <w:tcBorders/>
            <w:vAlign w:val="center"/>
          </w:tcPr>
          <w:p>
            <w:pPr>
              <w:pStyle w:val="TableContents"/>
              <w:bidi w:val="0"/>
              <w:spacing w:before="0" w:after="283"/>
              <w:jc w:val="left"/>
              <w:rPr/>
            </w:pPr>
            <w:hyperlink r:id="rId49">
              <w:r>
                <w:rPr>
                  <w:rStyle w:val="Hyperlink"/>
                </w:rPr>
                <w:t>SCITT architecture draft</w:t>
              </w:r>
            </w:hyperlink>
          </w:p>
        </w:tc>
        <w:tc>
          <w:tcPr>
            <w:tcW w:w="17383" w:type="dxa"/>
            <w:tcBorders/>
            <w:vAlign w:val="center"/>
          </w:tcPr>
          <w:p>
            <w:pPr>
              <w:pStyle w:val="TableContents"/>
              <w:bidi w:val="0"/>
              <w:spacing w:before="0" w:after="283"/>
              <w:jc w:val="left"/>
              <w:rPr/>
            </w:pPr>
            <w:r>
              <w:rPr/>
              <w:t>Transparency and verifiable publication pattern for signed statements</w:t>
            </w:r>
          </w:p>
        </w:tc>
      </w:tr>
      <w:tr>
        <w:trPr/>
        <w:tc>
          <w:tcPr>
            <w:tcW w:w="10104" w:type="dxa"/>
            <w:tcBorders/>
            <w:vAlign w:val="center"/>
          </w:tcPr>
          <w:p>
            <w:pPr>
              <w:pStyle w:val="TableContents"/>
              <w:bidi w:val="0"/>
              <w:spacing w:before="0" w:after="283"/>
              <w:jc w:val="left"/>
              <w:rPr/>
            </w:pPr>
            <w:hyperlink r:id="rId50">
              <w:r>
                <w:rPr>
                  <w:rStyle w:val="Hyperlink"/>
                </w:rPr>
                <w:t>SLSA Provenance v1.2</w:t>
              </w:r>
            </w:hyperlink>
          </w:p>
        </w:tc>
        <w:tc>
          <w:tcPr>
            <w:tcW w:w="17383" w:type="dxa"/>
            <w:tcBorders/>
            <w:vAlign w:val="center"/>
          </w:tcPr>
          <w:p>
            <w:pPr>
              <w:pStyle w:val="TableContents"/>
              <w:bidi w:val="0"/>
              <w:spacing w:before="0" w:after="283"/>
              <w:jc w:val="left"/>
              <w:rPr/>
            </w:pPr>
            <w:r>
              <w:rPr/>
              <w:t>Provenance and verifiable supply-chain evidence</w:t>
            </w:r>
          </w:p>
        </w:tc>
      </w:tr>
      <w:tr>
        <w:trPr/>
        <w:tc>
          <w:tcPr>
            <w:tcW w:w="10104" w:type="dxa"/>
            <w:tcBorders/>
            <w:vAlign w:val="center"/>
          </w:tcPr>
          <w:p>
            <w:pPr>
              <w:pStyle w:val="TableContents"/>
              <w:bidi w:val="0"/>
              <w:spacing w:before="0" w:after="283"/>
              <w:jc w:val="left"/>
              <w:rPr/>
            </w:pPr>
            <w:hyperlink r:id="rId51">
              <w:r>
                <w:rPr>
                  <w:rStyle w:val="Hyperlink"/>
                </w:rPr>
                <w:t>in-toto Attestation Framework Specification</w:t>
              </w:r>
            </w:hyperlink>
          </w:p>
        </w:tc>
        <w:tc>
          <w:tcPr>
            <w:tcW w:w="17383" w:type="dxa"/>
            <w:tcBorders/>
            <w:vAlign w:val="center"/>
          </w:tcPr>
          <w:p>
            <w:pPr>
              <w:pStyle w:val="TableContents"/>
              <w:bidi w:val="0"/>
              <w:spacing w:before="0" w:after="283"/>
              <w:jc w:val="left"/>
              <w:rPr/>
            </w:pPr>
            <w:r>
              <w:rPr/>
              <w:t>Practical statement and envelope model for signed evidence and receipt payloads</w:t>
            </w:r>
          </w:p>
        </w:tc>
      </w:tr>
      <w:tr>
        <w:trPr/>
        <w:tc>
          <w:tcPr>
            <w:tcW w:w="10104" w:type="dxa"/>
            <w:tcBorders/>
            <w:vAlign w:val="center"/>
          </w:tcPr>
          <w:p>
            <w:pPr>
              <w:pStyle w:val="TableContents"/>
              <w:bidi w:val="0"/>
              <w:spacing w:before="0" w:after="283"/>
              <w:jc w:val="left"/>
              <w:rPr/>
            </w:pPr>
            <w:hyperlink r:id="rId52">
              <w:r>
                <w:rPr>
                  <w:rStyle w:val="Hyperlink"/>
                </w:rPr>
                <w:t>Sigstore Documentation</w:t>
              </w:r>
            </w:hyperlink>
          </w:p>
        </w:tc>
        <w:tc>
          <w:tcPr>
            <w:tcW w:w="17383" w:type="dxa"/>
            <w:tcBorders/>
            <w:vAlign w:val="center"/>
          </w:tcPr>
          <w:p>
            <w:pPr>
              <w:pStyle w:val="TableContents"/>
              <w:bidi w:val="0"/>
              <w:spacing w:before="0" w:after="283"/>
              <w:jc w:val="left"/>
              <w:rPr/>
            </w:pPr>
            <w:r>
              <w:rPr/>
              <w:t>Operational transparency and verification substrate for signed identity and receipt artifacts</w:t>
            </w:r>
          </w:p>
        </w:tc>
      </w:tr>
      <w:tr>
        <w:trPr/>
        <w:tc>
          <w:tcPr>
            <w:tcW w:w="10104" w:type="dxa"/>
            <w:tcBorders/>
            <w:vAlign w:val="center"/>
          </w:tcPr>
          <w:p>
            <w:pPr>
              <w:pStyle w:val="TableContents"/>
              <w:bidi w:val="0"/>
              <w:spacing w:before="0" w:after="283"/>
              <w:jc w:val="left"/>
              <w:rPr/>
            </w:pPr>
            <w:hyperlink r:id="rId53">
              <w:r>
                <w:rPr>
                  <w:rStyle w:val="Hyperlink"/>
                </w:rPr>
                <w:t>C2PA Content Credentials Technical Specification v2.2</w:t>
              </w:r>
            </w:hyperlink>
          </w:p>
        </w:tc>
        <w:tc>
          <w:tcPr>
            <w:tcW w:w="17383" w:type="dxa"/>
            <w:tcBorders/>
            <w:vAlign w:val="center"/>
          </w:tcPr>
          <w:p>
            <w:pPr>
              <w:pStyle w:val="TableContents"/>
              <w:bidi w:val="0"/>
              <w:spacing w:before="0" w:after="283"/>
              <w:jc w:val="left"/>
              <w:rPr/>
            </w:pPr>
            <w:r>
              <w:rPr/>
              <w:t>Cryptographically bound provenance and content-credential pattern for agent-produced artifacts</w:t>
            </w:r>
          </w:p>
        </w:tc>
      </w:tr>
      <w:tr>
        <w:trPr/>
        <w:tc>
          <w:tcPr>
            <w:tcW w:w="10104" w:type="dxa"/>
            <w:tcBorders/>
            <w:vAlign w:val="center"/>
          </w:tcPr>
          <w:p>
            <w:pPr>
              <w:pStyle w:val="TableContents"/>
              <w:bidi w:val="0"/>
              <w:spacing w:before="0" w:after="283"/>
              <w:jc w:val="left"/>
              <w:rPr/>
            </w:pPr>
            <w:hyperlink r:id="rId54">
              <w:r>
                <w:rPr>
                  <w:rStyle w:val="Hyperlink"/>
                </w:rPr>
                <w:t>C2PA Implementation Guidance</w:t>
              </w:r>
            </w:hyperlink>
          </w:p>
        </w:tc>
        <w:tc>
          <w:tcPr>
            <w:tcW w:w="17383" w:type="dxa"/>
            <w:tcBorders/>
            <w:vAlign w:val="center"/>
          </w:tcPr>
          <w:p>
            <w:pPr>
              <w:pStyle w:val="TableContents"/>
              <w:bidi w:val="0"/>
              <w:spacing w:before="0" w:after="283"/>
              <w:jc w:val="left"/>
              <w:rPr/>
            </w:pPr>
            <w:r>
              <w:rPr/>
              <w:t xml:space="preserve">Guidance on AI/ML content provenance and </w:t>
            </w:r>
            <w:r>
              <w:rPr>
                <w:rStyle w:val="SourceText"/>
              </w:rPr>
              <w:t>digitalSourceType</w:t>
            </w:r>
            <w:r>
              <w:rPr/>
              <w:t xml:space="preserve"> disclosure</w:t>
            </w:r>
          </w:p>
        </w:tc>
      </w:tr>
      <w:tr>
        <w:trPr/>
        <w:tc>
          <w:tcPr>
            <w:tcW w:w="10104" w:type="dxa"/>
            <w:tcBorders/>
            <w:vAlign w:val="center"/>
          </w:tcPr>
          <w:p>
            <w:pPr>
              <w:pStyle w:val="TableContents"/>
              <w:bidi w:val="0"/>
              <w:spacing w:before="0" w:after="283"/>
              <w:jc w:val="left"/>
              <w:rPr/>
            </w:pPr>
            <w:hyperlink r:id="rId55">
              <w:r>
                <w:rPr>
                  <w:rStyle w:val="Hyperlink"/>
                </w:rPr>
                <w:t>AP2 Agent Payments Protocol core concepts</w:t>
              </w:r>
            </w:hyperlink>
          </w:p>
        </w:tc>
        <w:tc>
          <w:tcPr>
            <w:tcW w:w="17383" w:type="dxa"/>
            <w:tcBorders/>
            <w:vAlign w:val="center"/>
          </w:tcPr>
          <w:p>
            <w:pPr>
              <w:pStyle w:val="TableContents"/>
              <w:bidi w:val="0"/>
              <w:spacing w:before="0" w:after="283"/>
              <w:jc w:val="left"/>
              <w:rPr/>
            </w:pPr>
            <w:r>
              <w:rPr/>
              <w:t>Adjacent mandate and verifiable-credential pattern for consequential agent commerce and payment authorization</w:t>
            </w:r>
          </w:p>
        </w:tc>
      </w:tr>
      <w:tr>
        <w:trPr/>
        <w:tc>
          <w:tcPr>
            <w:tcW w:w="10104" w:type="dxa"/>
            <w:tcBorders/>
            <w:vAlign w:val="center"/>
          </w:tcPr>
          <w:p>
            <w:pPr>
              <w:pStyle w:val="TableContents"/>
              <w:bidi w:val="0"/>
              <w:spacing w:before="0" w:after="283"/>
              <w:jc w:val="left"/>
              <w:rPr/>
            </w:pPr>
            <w:hyperlink r:id="rId56">
              <w:r>
                <w:rPr>
                  <w:rStyle w:val="Hyperlink"/>
                </w:rPr>
                <w:t>Package URL / ECMA-427</w:t>
              </w:r>
            </w:hyperlink>
          </w:p>
        </w:tc>
        <w:tc>
          <w:tcPr>
            <w:tcW w:w="17383" w:type="dxa"/>
            <w:tcBorders/>
            <w:vAlign w:val="center"/>
          </w:tcPr>
          <w:p>
            <w:pPr>
              <w:pStyle w:val="TableContents"/>
              <w:bidi w:val="0"/>
              <w:spacing w:before="0" w:after="283"/>
              <w:jc w:val="left"/>
              <w:rPr/>
            </w:pPr>
            <w:r>
              <w:rPr/>
              <w:t>Software identification patterns relevant to normalized agent component references</w:t>
            </w:r>
          </w:p>
        </w:tc>
      </w:tr>
      <w:tr>
        <w:trPr/>
        <w:tc>
          <w:tcPr>
            <w:tcW w:w="10104" w:type="dxa"/>
            <w:tcBorders/>
            <w:vAlign w:val="center"/>
          </w:tcPr>
          <w:p>
            <w:pPr>
              <w:pStyle w:val="TableContents"/>
              <w:bidi w:val="0"/>
              <w:spacing w:before="0" w:after="283"/>
              <w:jc w:val="left"/>
              <w:rPr/>
            </w:pPr>
            <w:hyperlink r:id="rId57">
              <w:r>
                <w:rPr>
                  <w:rStyle w:val="Hyperlink"/>
                </w:rPr>
                <w:t>OWASP Top 10 for Agentic Applications</w:t>
              </w:r>
            </w:hyperlink>
          </w:p>
        </w:tc>
        <w:tc>
          <w:tcPr>
            <w:tcW w:w="17383" w:type="dxa"/>
            <w:tcBorders/>
            <w:vAlign w:val="center"/>
          </w:tcPr>
          <w:p>
            <w:pPr>
              <w:pStyle w:val="TableContents"/>
              <w:bidi w:val="0"/>
              <w:spacing w:before="0" w:after="283"/>
              <w:jc w:val="left"/>
              <w:rPr/>
            </w:pPr>
            <w:r>
              <w:rPr/>
              <w:t>Concrete agentic risk taxonomy and mitigation guidance</w:t>
            </w:r>
          </w:p>
        </w:tc>
      </w:tr>
      <w:tr>
        <w:trPr/>
        <w:tc>
          <w:tcPr>
            <w:tcW w:w="10104" w:type="dxa"/>
            <w:tcBorders/>
            <w:vAlign w:val="center"/>
          </w:tcPr>
          <w:p>
            <w:pPr>
              <w:pStyle w:val="TableContents"/>
              <w:bidi w:val="0"/>
              <w:spacing w:before="0" w:after="283"/>
              <w:jc w:val="left"/>
              <w:rPr/>
            </w:pPr>
            <w:hyperlink r:id="rId58">
              <w:r>
                <w:rPr>
                  <w:rStyle w:val="Hyperlink"/>
                </w:rPr>
                <w:t>CSA MAESTRO</w:t>
              </w:r>
            </w:hyperlink>
          </w:p>
        </w:tc>
        <w:tc>
          <w:tcPr>
            <w:tcW w:w="17383" w:type="dxa"/>
            <w:tcBorders/>
            <w:vAlign w:val="center"/>
          </w:tcPr>
          <w:p>
            <w:pPr>
              <w:pStyle w:val="TableContents"/>
              <w:bidi w:val="0"/>
              <w:spacing w:before="0" w:after="283"/>
              <w:jc w:val="left"/>
              <w:rPr/>
            </w:pPr>
            <w:r>
              <w:rPr/>
              <w:t>Agentic AI threat-modeling framework</w:t>
            </w:r>
          </w:p>
        </w:tc>
      </w:tr>
      <w:tr>
        <w:trPr/>
        <w:tc>
          <w:tcPr>
            <w:tcW w:w="10104" w:type="dxa"/>
            <w:tcBorders/>
            <w:vAlign w:val="center"/>
          </w:tcPr>
          <w:p>
            <w:pPr>
              <w:pStyle w:val="TableContents"/>
              <w:bidi w:val="0"/>
              <w:spacing w:before="0" w:after="283"/>
              <w:jc w:val="left"/>
              <w:rPr/>
            </w:pPr>
            <w:hyperlink r:id="rId59">
              <w:r>
                <w:rPr>
                  <w:rStyle w:val="Hyperlink"/>
                </w:rPr>
                <w:t>MITRE ATLAS</w:t>
              </w:r>
            </w:hyperlink>
          </w:p>
        </w:tc>
        <w:tc>
          <w:tcPr>
            <w:tcW w:w="17383" w:type="dxa"/>
            <w:tcBorders/>
            <w:vAlign w:val="center"/>
          </w:tcPr>
          <w:p>
            <w:pPr>
              <w:pStyle w:val="TableContents"/>
              <w:bidi w:val="0"/>
              <w:spacing w:before="0" w:after="283"/>
              <w:jc w:val="left"/>
              <w:rPr/>
            </w:pPr>
            <w:r>
              <w:rPr/>
              <w:t>Adversarial tactics and techniques knowledge base for AI systems</w:t>
            </w:r>
          </w:p>
        </w:tc>
      </w:tr>
      <w:tr>
        <w:trPr/>
        <w:tc>
          <w:tcPr>
            <w:tcW w:w="10104" w:type="dxa"/>
            <w:tcBorders/>
            <w:vAlign w:val="center"/>
          </w:tcPr>
          <w:p>
            <w:pPr>
              <w:pStyle w:val="TableContents"/>
              <w:bidi w:val="0"/>
              <w:spacing w:before="0" w:after="283"/>
              <w:jc w:val="left"/>
              <w:rPr/>
            </w:pPr>
            <w:hyperlink r:id="rId60">
              <w:r>
                <w:rPr>
                  <w:rStyle w:val="Hyperlink"/>
                </w:rPr>
                <w:t>EU General-Purpose AI Code of Practice</w:t>
              </w:r>
            </w:hyperlink>
          </w:p>
        </w:tc>
        <w:tc>
          <w:tcPr>
            <w:tcW w:w="17383" w:type="dxa"/>
            <w:tcBorders/>
            <w:vAlign w:val="center"/>
          </w:tcPr>
          <w:p>
            <w:pPr>
              <w:pStyle w:val="TableContents"/>
              <w:bidi w:val="0"/>
              <w:spacing w:before="0" w:after="283"/>
              <w:jc w:val="left"/>
              <w:rPr/>
            </w:pPr>
            <w:r>
              <w:rPr/>
              <w:t>Current EU transparency, safety, security, and documentation expectations for GPAI providers</w:t>
            </w:r>
          </w:p>
        </w:tc>
      </w:tr>
      <w:tr>
        <w:trPr/>
        <w:tc>
          <w:tcPr>
            <w:tcW w:w="10104" w:type="dxa"/>
            <w:tcBorders/>
            <w:vAlign w:val="center"/>
          </w:tcPr>
          <w:p>
            <w:pPr>
              <w:pStyle w:val="TableContents"/>
              <w:bidi w:val="0"/>
              <w:spacing w:before="0" w:after="283"/>
              <w:jc w:val="left"/>
              <w:rPr/>
            </w:pPr>
            <w:hyperlink r:id="rId61">
              <w:r>
                <w:rPr>
                  <w:rStyle w:val="Hyperlink"/>
                </w:rPr>
                <w:t>Regulation (EU) 2016/679 (GDPR)</w:t>
              </w:r>
            </w:hyperlink>
          </w:p>
        </w:tc>
        <w:tc>
          <w:tcPr>
            <w:tcW w:w="17383" w:type="dxa"/>
            <w:tcBorders/>
            <w:vAlign w:val="center"/>
          </w:tcPr>
          <w:p>
            <w:pPr>
              <w:pStyle w:val="TableContents"/>
              <w:bidi w:val="0"/>
              <w:spacing w:before="0" w:after="283"/>
              <w:jc w:val="left"/>
              <w:rPr/>
            </w:pPr>
            <w:r>
              <w:rPr/>
              <w:t>Privacy-law baseline for personal data minimization, accountability, and records implications of receipts and identity documents</w:t>
            </w:r>
          </w:p>
        </w:tc>
      </w:tr>
      <w:tr>
        <w:trPr/>
        <w:tc>
          <w:tcPr>
            <w:tcW w:w="10104" w:type="dxa"/>
            <w:tcBorders/>
            <w:vAlign w:val="center"/>
          </w:tcPr>
          <w:p>
            <w:pPr>
              <w:pStyle w:val="TableContents"/>
              <w:bidi w:val="0"/>
              <w:spacing w:before="0" w:after="283"/>
              <w:jc w:val="left"/>
              <w:rPr/>
            </w:pPr>
            <w:hyperlink r:id="rId62">
              <w:r>
                <w:rPr>
                  <w:rStyle w:val="Hyperlink"/>
                </w:rPr>
                <w:t>IMDA Model AI Governance Framework for Agentic AI</w:t>
              </w:r>
            </w:hyperlink>
          </w:p>
        </w:tc>
        <w:tc>
          <w:tcPr>
            <w:tcW w:w="17383" w:type="dxa"/>
            <w:tcBorders/>
            <w:vAlign w:val="center"/>
          </w:tcPr>
          <w:p>
            <w:pPr>
              <w:pStyle w:val="TableContents"/>
              <w:bidi w:val="0"/>
              <w:spacing w:before="0" w:after="283"/>
              <w:jc w:val="left"/>
              <w:rPr/>
            </w:pPr>
            <w:r>
              <w:rPr/>
              <w:t>National governance framework for agentic AI deployment</w:t>
            </w:r>
          </w:p>
        </w:tc>
      </w:tr>
      <w:tr>
        <w:trPr/>
        <w:tc>
          <w:tcPr>
            <w:tcW w:w="10104" w:type="dxa"/>
            <w:tcBorders/>
            <w:vAlign w:val="center"/>
          </w:tcPr>
          <w:p>
            <w:pPr>
              <w:pStyle w:val="TableContents"/>
              <w:bidi w:val="0"/>
              <w:spacing w:before="0" w:after="283"/>
              <w:jc w:val="left"/>
              <w:rPr/>
            </w:pPr>
            <w:hyperlink r:id="rId63">
              <w:r>
                <w:rPr>
                  <w:rStyle w:val="Hyperlink"/>
                </w:rPr>
                <w:t>ISO/IEC 27701:2025</w:t>
              </w:r>
            </w:hyperlink>
          </w:p>
        </w:tc>
        <w:tc>
          <w:tcPr>
            <w:tcW w:w="17383" w:type="dxa"/>
            <w:tcBorders/>
            <w:vAlign w:val="center"/>
          </w:tcPr>
          <w:p>
            <w:pPr>
              <w:pStyle w:val="TableContents"/>
              <w:bidi w:val="0"/>
              <w:spacing w:before="0" w:after="283"/>
              <w:jc w:val="left"/>
              <w:rPr/>
            </w:pPr>
            <w:r>
              <w:rPr/>
              <w:t xml:space="preserve">Privacy information management system reference for </w:t>
            </w:r>
            <w:r>
              <w:rPr>
                <w:rStyle w:val="SourceText"/>
              </w:rPr>
              <w:t>AIDoc</w:t>
            </w:r>
            <w:r>
              <w:rPr/>
              <w:t xml:space="preserve"> and receipt minimization obligations</w:t>
            </w:r>
          </w:p>
        </w:tc>
      </w:tr>
    </w:tbl>
    <w:p>
      <w:pPr>
        <w:pStyle w:val="Heading3"/>
        <w:bidi w:val="0"/>
        <w:jc w:val="left"/>
        <w:rPr/>
      </w:pPr>
      <w:r>
        <w:rPr/>
        <w:t>3.3 External Identity and Credential Boundary</w:t>
      </w:r>
    </w:p>
    <w:p>
      <w:pPr>
        <w:pStyle w:val="BodyText"/>
        <w:bidi w:val="0"/>
        <w:jc w:val="left"/>
        <w:rPr/>
      </w:pPr>
      <w:r>
        <w:rPr>
          <w:rStyle w:val="SourceText"/>
        </w:rPr>
        <w:t>GAID</w:t>
      </w:r>
      <w:r>
        <w:rPr/>
        <w:t xml:space="preserve"> defines agent identity, operating-state, assurance, qualification-claim, and receipt semantics. It does not require a new cryptographic identity stack.</w:t>
      </w:r>
    </w:p>
    <w:p>
      <w:pPr>
        <w:pStyle w:val="BodyText"/>
        <w:bidi w:val="0"/>
        <w:jc w:val="left"/>
        <w:rPr/>
      </w:pPr>
      <w:r>
        <w:rPr/>
        <w:t>Accordingly:</w:t>
      </w:r>
    </w:p>
    <w:p>
      <w:pPr>
        <w:pStyle w:val="BodyText"/>
        <w:numPr>
          <w:ilvl w:val="0"/>
          <w:numId w:val="8"/>
        </w:numPr>
        <w:tabs>
          <w:tab w:val="clear" w:pos="1134"/>
          <w:tab w:val="left" w:pos="709" w:leader="none"/>
        </w:tabs>
        <w:bidi w:val="0"/>
        <w:spacing w:before="0" w:after="0"/>
        <w:ind w:hanging="283" w:left="709"/>
        <w:jc w:val="left"/>
        <w:rPr/>
      </w:pPr>
      <w:r>
        <w:rPr/>
        <w:t xml:space="preserve">WIMSE, SPIFFE, OAuth, OpenID Connect, GNAP, mTLS, DIDs, and Verifiable Credentials </w:t>
      </w:r>
      <w:r>
        <w:rPr>
          <w:rStyle w:val="SourceText"/>
        </w:rPr>
        <w:t>MAY</w:t>
      </w:r>
      <w:r>
        <w:rPr/>
        <w:t xml:space="preserve"> carry or prove the identifiers and claims used by </w:t>
      </w:r>
      <w:r>
        <w:rPr>
          <w:rStyle w:val="SourceText"/>
        </w:rPr>
        <w:t>GAID</w:t>
      </w:r>
      <w:r>
        <w:rPr/>
        <w:t xml:space="preserve"> </w:t>
      </w:r>
    </w:p>
    <w:p>
      <w:pPr>
        <w:pStyle w:val="BodyText"/>
        <w:numPr>
          <w:ilvl w:val="0"/>
          <w:numId w:val="8"/>
        </w:numPr>
        <w:tabs>
          <w:tab w:val="clear" w:pos="1134"/>
          <w:tab w:val="left" w:pos="709" w:leader="none"/>
        </w:tabs>
        <w:bidi w:val="0"/>
        <w:spacing w:before="0" w:after="0"/>
        <w:ind w:hanging="283" w:left="709"/>
        <w:jc w:val="left"/>
        <w:rPr/>
      </w:pPr>
      <w:r>
        <w:rPr/>
        <w:t xml:space="preserve">W3C agent identity and declaration work </w:t>
      </w:r>
      <w:r>
        <w:rPr>
          <w:rStyle w:val="SourceText"/>
        </w:rPr>
        <w:t>SHOULD</w:t>
      </w:r>
      <w:r>
        <w:rPr/>
        <w:t xml:space="preserve"> be profiled where it supplies interoperable manifest, credential, trust-negotiation, or lifecycle mechanisms </w:t>
      </w:r>
    </w:p>
    <w:p>
      <w:pPr>
        <w:pStyle w:val="BodyText"/>
        <w:numPr>
          <w:ilvl w:val="0"/>
          <w:numId w:val="8"/>
        </w:numPr>
        <w:tabs>
          <w:tab w:val="clear" w:pos="1134"/>
          <w:tab w:val="left" w:pos="709" w:leader="none"/>
        </w:tabs>
        <w:bidi w:val="0"/>
        <w:spacing w:before="0" w:after="0"/>
        <w:ind w:hanging="283" w:left="709"/>
        <w:jc w:val="left"/>
        <w:rPr/>
      </w:pPr>
      <w:r>
        <w:rPr>
          <w:rStyle w:val="SourceText"/>
        </w:rPr>
        <w:t>GAID</w:t>
      </w:r>
      <w:r>
        <w:rPr/>
        <w:t xml:space="preserve"> </w:t>
      </w:r>
      <w:r>
        <w:rPr>
          <w:rStyle w:val="SourceText"/>
        </w:rPr>
        <w:t>MUST NOT</w:t>
      </w:r>
      <w:r>
        <w:rPr/>
        <w:t xml:space="preserve"> redefine an externally governed proof format, DID method, access token, workload credential, or trust-negotiation protocol merely to give it an AI-specific name </w:t>
      </w:r>
    </w:p>
    <w:p>
      <w:pPr>
        <w:pStyle w:val="BodyText"/>
        <w:numPr>
          <w:ilvl w:val="0"/>
          <w:numId w:val="8"/>
        </w:numPr>
        <w:tabs>
          <w:tab w:val="clear" w:pos="1134"/>
          <w:tab w:val="left" w:pos="709" w:leader="none"/>
        </w:tabs>
        <w:bidi w:val="0"/>
        <w:spacing w:before="0" w:after="0"/>
        <w:ind w:hanging="283" w:left="709"/>
        <w:jc w:val="left"/>
        <w:rPr/>
      </w:pPr>
      <w:r>
        <w:rPr>
          <w:rStyle w:val="SourceText"/>
        </w:rPr>
        <w:t>GAID</w:t>
      </w:r>
      <w:r>
        <w:rPr/>
        <w:t xml:space="preserve"> </w:t>
      </w:r>
      <w:r>
        <w:rPr>
          <w:rStyle w:val="SourceText"/>
        </w:rPr>
        <w:t>MUST</w:t>
      </w:r>
      <w:r>
        <w:rPr/>
        <w:t xml:space="preserve"> preserve the distinction between the enduring agent subject and the materially mutable operating profile, regardless of the selected carrier </w:t>
      </w:r>
    </w:p>
    <w:p>
      <w:pPr>
        <w:pStyle w:val="BodyText"/>
        <w:numPr>
          <w:ilvl w:val="0"/>
          <w:numId w:val="8"/>
        </w:numPr>
        <w:tabs>
          <w:tab w:val="clear" w:pos="1134"/>
          <w:tab w:val="left" w:pos="709" w:leader="none"/>
        </w:tabs>
        <w:bidi w:val="0"/>
        <w:spacing w:before="0" w:after="0"/>
        <w:ind w:hanging="283" w:left="709"/>
        <w:jc w:val="left"/>
        <w:rPr/>
      </w:pPr>
      <w:r>
        <w:rPr/>
        <w:t xml:space="preserve">a valid identity, manifest, credential, badge, or qualification claim </w:t>
      </w:r>
      <w:r>
        <w:rPr>
          <w:rStyle w:val="SourceText"/>
        </w:rPr>
        <w:t>MUST NOT</w:t>
      </w:r>
      <w:r>
        <w:rPr/>
        <w:t xml:space="preserve"> be interpreted as live authorization </w:t>
      </w:r>
    </w:p>
    <w:p>
      <w:pPr>
        <w:pStyle w:val="BodyText"/>
        <w:numPr>
          <w:ilvl w:val="0"/>
          <w:numId w:val="8"/>
        </w:numPr>
        <w:tabs>
          <w:tab w:val="clear" w:pos="1134"/>
          <w:tab w:val="left" w:pos="709" w:leader="none"/>
        </w:tabs>
        <w:bidi w:val="0"/>
        <w:ind w:hanging="283" w:left="709"/>
        <w:jc w:val="left"/>
        <w:rPr/>
      </w:pPr>
      <w:r>
        <w:rPr/>
        <w:t xml:space="preserve">W3C Community Group and IETF Internet-Draft work </w:t>
      </w:r>
      <w:r>
        <w:rPr>
          <w:rStyle w:val="SourceText"/>
        </w:rPr>
        <w:t>MUST</w:t>
      </w:r>
      <w:r>
        <w:rPr/>
        <w:t xml:space="preserve"> be identified as work in progress until it reaches the applicable consensus publication stage </w:t>
      </w:r>
    </w:p>
    <w:p>
      <w:pPr>
        <w:pStyle w:val="Heading2"/>
        <w:bidi w:val="0"/>
        <w:jc w:val="left"/>
        <w:rPr/>
      </w:pPr>
      <w:r>
        <w:rPr/>
        <w:t>4. Terms and Definitions</w:t>
      </w:r>
    </w:p>
    <w:p>
      <w:pPr>
        <w:pStyle w:val="BodyText"/>
        <w:bidi w:val="0"/>
        <w:jc w:val="left"/>
        <w:rPr/>
      </w:pPr>
      <w:r>
        <w:rPr/>
        <w:t>For the purposes of this standard:</w:t>
      </w:r>
    </w:p>
    <w:tbl>
      <w:tblPr>
        <w:tblW w:w="18829" w:type="dxa"/>
        <w:jc w:val="left"/>
        <w:tblInd w:w="0" w:type="dxa"/>
        <w:tblLayout w:type="fixed"/>
        <w:tblCellMar>
          <w:top w:w="28" w:type="dxa"/>
          <w:left w:w="28" w:type="dxa"/>
          <w:bottom w:w="28" w:type="dxa"/>
          <w:right w:w="28" w:type="dxa"/>
        </w:tblCellMar>
      </w:tblPr>
      <w:tblGrid>
        <w:gridCol w:w="3721"/>
        <w:gridCol w:w="15108"/>
      </w:tblGrid>
      <w:tr>
        <w:trPr>
          <w:tblHeader w:val="true"/>
        </w:trPr>
        <w:tc>
          <w:tcPr>
            <w:tcW w:w="3721" w:type="dxa"/>
            <w:tcBorders/>
            <w:vAlign w:val="center"/>
          </w:tcPr>
          <w:p>
            <w:pPr>
              <w:pStyle w:val="TableHeading"/>
              <w:suppressLineNumbers/>
              <w:bidi w:val="0"/>
              <w:spacing w:before="0" w:after="283"/>
              <w:jc w:val="center"/>
              <w:rPr/>
            </w:pPr>
            <w:r>
              <w:rPr/>
              <w:t>Term</w:t>
            </w:r>
          </w:p>
        </w:tc>
        <w:tc>
          <w:tcPr>
            <w:tcW w:w="15108" w:type="dxa"/>
            <w:tcBorders/>
            <w:vAlign w:val="center"/>
          </w:tcPr>
          <w:p>
            <w:pPr>
              <w:pStyle w:val="TableHeading"/>
              <w:suppressLineNumbers/>
              <w:bidi w:val="0"/>
              <w:spacing w:before="0" w:after="283"/>
              <w:jc w:val="center"/>
              <w:rPr/>
            </w:pPr>
            <w:r>
              <w:rPr/>
              <w:t>Definition</w:t>
            </w:r>
          </w:p>
        </w:tc>
      </w:tr>
      <w:tr>
        <w:trPr/>
        <w:tc>
          <w:tcPr>
            <w:tcW w:w="3721" w:type="dxa"/>
            <w:tcBorders/>
            <w:vAlign w:val="center"/>
          </w:tcPr>
          <w:p>
            <w:pPr>
              <w:pStyle w:val="TableContents"/>
              <w:bidi w:val="0"/>
              <w:spacing w:before="0" w:after="283"/>
              <w:jc w:val="left"/>
              <w:rPr/>
            </w:pPr>
            <w:r>
              <w:rPr>
                <w:rStyle w:val="SourceText"/>
              </w:rPr>
              <w:t>agent</w:t>
            </w:r>
          </w:p>
        </w:tc>
        <w:tc>
          <w:tcPr>
            <w:tcW w:w="15108" w:type="dxa"/>
            <w:tcBorders/>
            <w:vAlign w:val="center"/>
          </w:tcPr>
          <w:p>
            <w:pPr>
              <w:pStyle w:val="TableContents"/>
              <w:bidi w:val="0"/>
              <w:spacing w:before="0" w:after="283"/>
              <w:jc w:val="left"/>
              <w:rPr/>
            </w:pPr>
            <w:r>
              <w:rPr/>
              <w:t>A software system that can reason, decide, and perform actions with or without tool use on behalf of a principal or workflow</w:t>
            </w:r>
          </w:p>
        </w:tc>
      </w:tr>
      <w:tr>
        <w:trPr/>
        <w:tc>
          <w:tcPr>
            <w:tcW w:w="3721" w:type="dxa"/>
            <w:tcBorders/>
            <w:vAlign w:val="center"/>
          </w:tcPr>
          <w:p>
            <w:pPr>
              <w:pStyle w:val="TableContents"/>
              <w:bidi w:val="0"/>
              <w:spacing w:before="0" w:after="283"/>
              <w:jc w:val="left"/>
              <w:rPr/>
            </w:pPr>
            <w:r>
              <w:rPr>
                <w:rStyle w:val="SourceText"/>
              </w:rPr>
              <w:t>GAID</w:t>
            </w:r>
          </w:p>
        </w:tc>
        <w:tc>
          <w:tcPr>
            <w:tcW w:w="15108" w:type="dxa"/>
            <w:tcBorders/>
            <w:vAlign w:val="center"/>
          </w:tcPr>
          <w:p>
            <w:pPr>
              <w:pStyle w:val="TableContents"/>
              <w:bidi w:val="0"/>
              <w:spacing w:before="0" w:after="283"/>
              <w:jc w:val="left"/>
              <w:rPr/>
            </w:pPr>
            <w:r>
              <w:rPr/>
              <w:t>A stable identifier assigned to an AI agent subject under this standard</w:t>
            </w:r>
          </w:p>
        </w:tc>
      </w:tr>
      <w:tr>
        <w:trPr/>
        <w:tc>
          <w:tcPr>
            <w:tcW w:w="3721" w:type="dxa"/>
            <w:tcBorders/>
            <w:vAlign w:val="center"/>
          </w:tcPr>
          <w:p>
            <w:pPr>
              <w:pStyle w:val="TableContents"/>
              <w:bidi w:val="0"/>
              <w:spacing w:before="0" w:after="283"/>
              <w:jc w:val="left"/>
              <w:rPr/>
            </w:pPr>
            <w:r>
              <w:rPr>
                <w:rStyle w:val="SourceText"/>
              </w:rPr>
              <w:t>issuer</w:t>
            </w:r>
          </w:p>
        </w:tc>
        <w:tc>
          <w:tcPr>
            <w:tcW w:w="15108" w:type="dxa"/>
            <w:tcBorders/>
            <w:vAlign w:val="center"/>
          </w:tcPr>
          <w:p>
            <w:pPr>
              <w:pStyle w:val="TableContents"/>
              <w:bidi w:val="0"/>
              <w:spacing w:before="0" w:after="283"/>
              <w:jc w:val="left"/>
              <w:rPr/>
            </w:pPr>
            <w:r>
              <w:rPr/>
              <w:t xml:space="preserve">The authority that allocates, signs, or attests a </w:t>
            </w:r>
            <w:r>
              <w:rPr>
                <w:rStyle w:val="SourceText"/>
              </w:rPr>
              <w:t>GAID</w:t>
            </w:r>
            <w:r>
              <w:rPr/>
              <w:t xml:space="preserve"> and its related identity assertions</w:t>
            </w:r>
          </w:p>
        </w:tc>
      </w:tr>
      <w:tr>
        <w:trPr/>
        <w:tc>
          <w:tcPr>
            <w:tcW w:w="3721" w:type="dxa"/>
            <w:tcBorders/>
            <w:vAlign w:val="center"/>
          </w:tcPr>
          <w:p>
            <w:pPr>
              <w:pStyle w:val="TableContents"/>
              <w:bidi w:val="0"/>
              <w:spacing w:before="0" w:after="283"/>
              <w:jc w:val="left"/>
              <w:rPr/>
            </w:pPr>
            <w:r>
              <w:rPr>
                <w:rStyle w:val="SourceText"/>
              </w:rPr>
              <w:t>registry</w:t>
            </w:r>
          </w:p>
        </w:tc>
        <w:tc>
          <w:tcPr>
            <w:tcW w:w="15108" w:type="dxa"/>
            <w:tcBorders/>
            <w:vAlign w:val="center"/>
          </w:tcPr>
          <w:p>
            <w:pPr>
              <w:pStyle w:val="TableContents"/>
              <w:bidi w:val="0"/>
              <w:spacing w:before="0" w:after="283"/>
              <w:jc w:val="left"/>
              <w:rPr/>
            </w:pPr>
            <w:r>
              <w:rPr/>
              <w:t>The namespace management layer that delegates or recognizes issuer prefixes</w:t>
            </w:r>
          </w:p>
        </w:tc>
      </w:tr>
      <w:tr>
        <w:trPr/>
        <w:tc>
          <w:tcPr>
            <w:tcW w:w="3721" w:type="dxa"/>
            <w:tcBorders/>
            <w:vAlign w:val="center"/>
          </w:tcPr>
          <w:p>
            <w:pPr>
              <w:pStyle w:val="TableContents"/>
              <w:bidi w:val="0"/>
              <w:spacing w:before="0" w:after="283"/>
              <w:jc w:val="left"/>
              <w:rPr/>
            </w:pPr>
            <w:r>
              <w:rPr>
                <w:rStyle w:val="SourceText"/>
              </w:rPr>
              <w:t>AIDoc</w:t>
            </w:r>
          </w:p>
        </w:tc>
        <w:tc>
          <w:tcPr>
            <w:tcW w:w="15108" w:type="dxa"/>
            <w:tcBorders/>
            <w:vAlign w:val="center"/>
          </w:tcPr>
          <w:p>
            <w:pPr>
              <w:pStyle w:val="TableContents"/>
              <w:bidi w:val="0"/>
              <w:spacing w:before="0" w:after="283"/>
              <w:jc w:val="left"/>
              <w:rPr/>
            </w:pPr>
            <w:r>
              <w:rPr/>
              <w:t xml:space="preserve">The signed </w:t>
            </w:r>
            <w:r>
              <w:rPr>
                <w:rStyle w:val="SourceText"/>
              </w:rPr>
              <w:t>Agent Identity Document</w:t>
            </w:r>
            <w:r>
              <w:rPr/>
              <w:t xml:space="preserve"> describing an agent's identity, operating surface, governance claims, and status</w:t>
            </w:r>
          </w:p>
        </w:tc>
      </w:tr>
      <w:tr>
        <w:trPr/>
        <w:tc>
          <w:tcPr>
            <w:tcW w:w="3721" w:type="dxa"/>
            <w:tcBorders/>
            <w:vAlign w:val="center"/>
          </w:tcPr>
          <w:p>
            <w:pPr>
              <w:pStyle w:val="TableContents"/>
              <w:bidi w:val="0"/>
              <w:spacing w:before="0" w:after="283"/>
              <w:jc w:val="left"/>
              <w:rPr/>
            </w:pPr>
            <w:r>
              <w:rPr>
                <w:rStyle w:val="SourceText"/>
              </w:rPr>
              <w:t>badge</w:t>
            </w:r>
          </w:p>
        </w:tc>
        <w:tc>
          <w:tcPr>
            <w:tcW w:w="15108" w:type="dxa"/>
            <w:tcBorders/>
            <w:vAlign w:val="center"/>
          </w:tcPr>
          <w:p>
            <w:pPr>
              <w:pStyle w:val="TableContents"/>
              <w:bidi w:val="0"/>
              <w:spacing w:before="0" w:after="283"/>
              <w:jc w:val="left"/>
              <w:rPr/>
            </w:pPr>
            <w:r>
              <w:rPr/>
              <w:t>A structured claim about an agent's capability, governance posture, assurance status, or operating constraint</w:t>
            </w:r>
          </w:p>
        </w:tc>
      </w:tr>
      <w:tr>
        <w:trPr/>
        <w:tc>
          <w:tcPr>
            <w:tcW w:w="3721" w:type="dxa"/>
            <w:tcBorders/>
            <w:vAlign w:val="center"/>
          </w:tcPr>
          <w:p>
            <w:pPr>
              <w:pStyle w:val="TableContents"/>
              <w:bidi w:val="0"/>
              <w:spacing w:before="0" w:after="283"/>
              <w:jc w:val="left"/>
              <w:rPr/>
            </w:pPr>
            <w:r>
              <w:rPr>
                <w:rStyle w:val="SourceText"/>
              </w:rPr>
              <w:t>job-qualification claim</w:t>
            </w:r>
          </w:p>
        </w:tc>
        <w:tc>
          <w:tcPr>
            <w:tcW w:w="15108" w:type="dxa"/>
            <w:tcBorders/>
            <w:vAlign w:val="center"/>
          </w:tcPr>
          <w:p>
            <w:pPr>
              <w:pStyle w:val="TableContents"/>
              <w:bidi w:val="0"/>
              <w:spacing w:before="0" w:after="283"/>
              <w:jc w:val="left"/>
              <w:rPr/>
            </w:pPr>
            <w:r>
              <w:rPr/>
              <w:t xml:space="preserve">A versioned claim that a specific operating profile meets a declared </w:t>
            </w:r>
            <w:r>
              <w:rPr>
                <w:rStyle w:val="SourceText"/>
              </w:rPr>
              <w:t>TAK-JSI</w:t>
            </w:r>
            <w:r>
              <w:rPr/>
              <w:t xml:space="preserve"> scheme within stated activity, data, risk, and deployment constraints</w:t>
            </w:r>
          </w:p>
        </w:tc>
      </w:tr>
      <w:tr>
        <w:trPr/>
        <w:tc>
          <w:tcPr>
            <w:tcW w:w="3721" w:type="dxa"/>
            <w:tcBorders/>
            <w:vAlign w:val="center"/>
          </w:tcPr>
          <w:p>
            <w:pPr>
              <w:pStyle w:val="TableContents"/>
              <w:bidi w:val="0"/>
              <w:spacing w:before="0" w:after="283"/>
              <w:jc w:val="left"/>
              <w:rPr/>
            </w:pPr>
            <w:r>
              <w:rPr>
                <w:rStyle w:val="SourceText"/>
              </w:rPr>
              <w:t>assurance level</w:t>
            </w:r>
          </w:p>
        </w:tc>
        <w:tc>
          <w:tcPr>
            <w:tcW w:w="15108" w:type="dxa"/>
            <w:tcBorders/>
            <w:vAlign w:val="center"/>
          </w:tcPr>
          <w:p>
            <w:pPr>
              <w:pStyle w:val="TableContents"/>
              <w:bidi w:val="0"/>
              <w:spacing w:before="0" w:after="283"/>
              <w:jc w:val="left"/>
              <w:rPr/>
            </w:pPr>
            <w:r>
              <w:rPr/>
              <w:t>The strength of evidence behind a claim, such as self-asserted, organization-attested, independently-assessed, or accredited-certified</w:t>
            </w:r>
          </w:p>
        </w:tc>
      </w:tr>
      <w:tr>
        <w:trPr/>
        <w:tc>
          <w:tcPr>
            <w:tcW w:w="3721" w:type="dxa"/>
            <w:tcBorders/>
            <w:vAlign w:val="center"/>
          </w:tcPr>
          <w:p>
            <w:pPr>
              <w:pStyle w:val="TableContents"/>
              <w:bidi w:val="0"/>
              <w:spacing w:before="0" w:after="283"/>
              <w:jc w:val="left"/>
              <w:rPr/>
            </w:pPr>
            <w:r>
              <w:rPr>
                <w:rStyle w:val="SourceText"/>
              </w:rPr>
              <w:t>authorization class</w:t>
            </w:r>
          </w:p>
        </w:tc>
        <w:tc>
          <w:tcPr>
            <w:tcW w:w="15108" w:type="dxa"/>
            <w:tcBorders/>
            <w:vAlign w:val="center"/>
          </w:tcPr>
          <w:p>
            <w:pPr>
              <w:pStyle w:val="TableContents"/>
              <w:bidi w:val="0"/>
              <w:spacing w:before="0" w:after="283"/>
              <w:jc w:val="left"/>
              <w:rPr/>
            </w:pPr>
            <w:r>
              <w:rPr/>
              <w:t>A portable declaration of the kinds of actions or data access an agent is designed to request or perform</w:t>
            </w:r>
          </w:p>
        </w:tc>
      </w:tr>
      <w:tr>
        <w:trPr/>
        <w:tc>
          <w:tcPr>
            <w:tcW w:w="3721" w:type="dxa"/>
            <w:tcBorders/>
            <w:vAlign w:val="center"/>
          </w:tcPr>
          <w:p>
            <w:pPr>
              <w:pStyle w:val="TableContents"/>
              <w:bidi w:val="0"/>
              <w:spacing w:before="0" w:after="283"/>
              <w:jc w:val="left"/>
              <w:rPr/>
            </w:pPr>
            <w:r>
              <w:rPr>
                <w:rStyle w:val="SourceText"/>
              </w:rPr>
              <w:t>public namespace</w:t>
            </w:r>
          </w:p>
        </w:tc>
        <w:tc>
          <w:tcPr>
            <w:tcW w:w="15108" w:type="dxa"/>
            <w:tcBorders/>
            <w:vAlign w:val="center"/>
          </w:tcPr>
          <w:p>
            <w:pPr>
              <w:pStyle w:val="TableContents"/>
              <w:bidi w:val="0"/>
              <w:spacing w:before="0" w:after="283"/>
              <w:jc w:val="left"/>
              <w:rPr/>
            </w:pPr>
            <w:r>
              <w:rPr/>
              <w:t>The globally resolvable identifier space intended for cross-organizational or public consumption</w:t>
            </w:r>
          </w:p>
        </w:tc>
      </w:tr>
      <w:tr>
        <w:trPr/>
        <w:tc>
          <w:tcPr>
            <w:tcW w:w="3721" w:type="dxa"/>
            <w:tcBorders/>
            <w:vAlign w:val="center"/>
          </w:tcPr>
          <w:p>
            <w:pPr>
              <w:pStyle w:val="TableContents"/>
              <w:bidi w:val="0"/>
              <w:spacing w:before="0" w:after="283"/>
              <w:jc w:val="left"/>
              <w:rPr/>
            </w:pPr>
            <w:r>
              <w:rPr>
                <w:rStyle w:val="SourceText"/>
              </w:rPr>
              <w:t>private namespace</w:t>
            </w:r>
          </w:p>
        </w:tc>
        <w:tc>
          <w:tcPr>
            <w:tcW w:w="15108" w:type="dxa"/>
            <w:tcBorders/>
            <w:vAlign w:val="center"/>
          </w:tcPr>
          <w:p>
            <w:pPr>
              <w:pStyle w:val="TableContents"/>
              <w:bidi w:val="0"/>
              <w:spacing w:before="0" w:after="283"/>
              <w:jc w:val="left"/>
              <w:rPr/>
            </w:pPr>
            <w:r>
              <w:rPr/>
              <w:t>An internally governed identifier space intended for local or intra-organizational use</w:t>
            </w:r>
          </w:p>
        </w:tc>
      </w:tr>
      <w:tr>
        <w:trPr/>
        <w:tc>
          <w:tcPr>
            <w:tcW w:w="3721" w:type="dxa"/>
            <w:tcBorders/>
            <w:vAlign w:val="center"/>
          </w:tcPr>
          <w:p>
            <w:pPr>
              <w:pStyle w:val="TableContents"/>
              <w:bidi w:val="0"/>
              <w:spacing w:before="0" w:after="283"/>
              <w:jc w:val="left"/>
              <w:rPr/>
            </w:pPr>
            <w:r>
              <w:rPr>
                <w:rStyle w:val="SourceText"/>
              </w:rPr>
              <w:t>boundary mapping</w:t>
            </w:r>
          </w:p>
        </w:tc>
        <w:tc>
          <w:tcPr>
            <w:tcW w:w="15108" w:type="dxa"/>
            <w:tcBorders/>
            <w:vAlign w:val="center"/>
          </w:tcPr>
          <w:p>
            <w:pPr>
              <w:pStyle w:val="TableContents"/>
              <w:bidi w:val="0"/>
              <w:spacing w:before="0" w:after="283"/>
              <w:jc w:val="left"/>
              <w:rPr/>
            </w:pPr>
            <w:r>
              <w:rPr/>
              <w:t>The governed relationship between an internal private identifier and an externally exposed public identifier</w:t>
            </w:r>
          </w:p>
        </w:tc>
      </w:tr>
      <w:tr>
        <w:trPr/>
        <w:tc>
          <w:tcPr>
            <w:tcW w:w="3721" w:type="dxa"/>
            <w:tcBorders/>
            <w:vAlign w:val="center"/>
          </w:tcPr>
          <w:p>
            <w:pPr>
              <w:pStyle w:val="TableContents"/>
              <w:bidi w:val="0"/>
              <w:spacing w:before="0" w:after="283"/>
              <w:jc w:val="left"/>
              <w:rPr/>
            </w:pPr>
            <w:r>
              <w:rPr>
                <w:rStyle w:val="SourceText"/>
              </w:rPr>
              <w:t>agent participation graph</w:t>
            </w:r>
          </w:p>
        </w:tc>
        <w:tc>
          <w:tcPr>
            <w:tcW w:w="15108" w:type="dxa"/>
            <w:tcBorders/>
            <w:vAlign w:val="center"/>
          </w:tcPr>
          <w:p>
            <w:pPr>
              <w:pStyle w:val="TableContents"/>
              <w:bidi w:val="0"/>
              <w:spacing w:before="0" w:after="283"/>
              <w:jc w:val="left"/>
              <w:rPr/>
            </w:pPr>
            <w:r>
              <w:rPr/>
              <w:t>The receipt-linked, acyclic record of every materially participating agent subject and its delegation or contribution relationship in an interaction</w:t>
            </w:r>
          </w:p>
        </w:tc>
      </w:tr>
      <w:tr>
        <w:trPr/>
        <w:tc>
          <w:tcPr>
            <w:tcW w:w="3721" w:type="dxa"/>
            <w:tcBorders/>
            <w:vAlign w:val="center"/>
          </w:tcPr>
          <w:p>
            <w:pPr>
              <w:pStyle w:val="TableContents"/>
              <w:bidi w:val="0"/>
              <w:spacing w:before="0" w:after="283"/>
              <w:jc w:val="left"/>
              <w:rPr/>
            </w:pPr>
            <w:r>
              <w:rPr>
                <w:rStyle w:val="SourceText"/>
              </w:rPr>
              <w:t>boundary projection</w:t>
            </w:r>
          </w:p>
        </w:tc>
        <w:tc>
          <w:tcPr>
            <w:tcW w:w="15108" w:type="dxa"/>
            <w:tcBorders/>
            <w:vAlign w:val="center"/>
          </w:tcPr>
          <w:p>
            <w:pPr>
              <w:pStyle w:val="TableContents"/>
              <w:bidi w:val="0"/>
              <w:spacing w:before="0" w:after="283"/>
              <w:jc w:val="left"/>
              <w:rPr/>
            </w:pPr>
            <w:r>
              <w:rPr/>
              <w:t>A policy-derived external view of an agent participation graph that exposes only approved identifiers and claims for the relying-party boundary</w:t>
            </w:r>
          </w:p>
        </w:tc>
      </w:tr>
      <w:tr>
        <w:trPr/>
        <w:tc>
          <w:tcPr>
            <w:tcW w:w="3721" w:type="dxa"/>
            <w:tcBorders/>
            <w:vAlign w:val="center"/>
          </w:tcPr>
          <w:p>
            <w:pPr>
              <w:pStyle w:val="TableContents"/>
              <w:bidi w:val="0"/>
              <w:spacing w:before="0" w:after="283"/>
              <w:jc w:val="left"/>
              <w:rPr/>
            </w:pPr>
            <w:r>
              <w:rPr>
                <w:rStyle w:val="SourceText"/>
              </w:rPr>
              <w:t>participation commitment</w:t>
            </w:r>
          </w:p>
        </w:tc>
        <w:tc>
          <w:tcPr>
            <w:tcW w:w="15108" w:type="dxa"/>
            <w:tcBorders/>
            <w:vAlign w:val="center"/>
          </w:tcPr>
          <w:p>
            <w:pPr>
              <w:pStyle w:val="TableContents"/>
              <w:bidi w:val="0"/>
              <w:spacing w:before="0" w:after="283"/>
              <w:jc w:val="left"/>
              <w:rPr/>
            </w:pPr>
            <w:r>
              <w:rPr/>
              <w:t>A signed, privacy-preserving cryptographic commitment that binds an external receipt to a fuller protected participation graph without disclosing that graph</w:t>
            </w:r>
          </w:p>
        </w:tc>
      </w:tr>
      <w:tr>
        <w:trPr/>
        <w:tc>
          <w:tcPr>
            <w:tcW w:w="3721" w:type="dxa"/>
            <w:tcBorders/>
            <w:vAlign w:val="center"/>
          </w:tcPr>
          <w:p>
            <w:pPr>
              <w:pStyle w:val="TableContents"/>
              <w:bidi w:val="0"/>
              <w:spacing w:before="0" w:after="283"/>
              <w:jc w:val="left"/>
              <w:rPr/>
            </w:pPr>
            <w:r>
              <w:rPr>
                <w:rStyle w:val="SourceText"/>
              </w:rPr>
              <w:t>receipt</w:t>
            </w:r>
          </w:p>
        </w:tc>
        <w:tc>
          <w:tcPr>
            <w:tcW w:w="15108" w:type="dxa"/>
            <w:tcBorders/>
            <w:vAlign w:val="center"/>
          </w:tcPr>
          <w:p>
            <w:pPr>
              <w:pStyle w:val="TableContents"/>
              <w:bidi w:val="0"/>
              <w:spacing w:before="0" w:after="283"/>
              <w:jc w:val="left"/>
              <w:rPr/>
            </w:pPr>
            <w:r>
              <w:rPr/>
              <w:t>A signed record describing a specific agent action, delegation, or decision event</w:t>
            </w:r>
          </w:p>
        </w:tc>
      </w:tr>
      <w:tr>
        <w:trPr/>
        <w:tc>
          <w:tcPr>
            <w:tcW w:w="3721" w:type="dxa"/>
            <w:tcBorders/>
            <w:vAlign w:val="center"/>
          </w:tcPr>
          <w:p>
            <w:pPr>
              <w:pStyle w:val="TableContents"/>
              <w:bidi w:val="0"/>
              <w:spacing w:before="0" w:after="283"/>
              <w:jc w:val="left"/>
              <w:rPr/>
            </w:pPr>
            <w:r>
              <w:rPr>
                <w:rStyle w:val="SourceText"/>
              </w:rPr>
              <w:t>chain-of-custody</w:t>
            </w:r>
          </w:p>
        </w:tc>
        <w:tc>
          <w:tcPr>
            <w:tcW w:w="15108" w:type="dxa"/>
            <w:tcBorders/>
            <w:vAlign w:val="center"/>
          </w:tcPr>
          <w:p>
            <w:pPr>
              <w:pStyle w:val="TableContents"/>
              <w:bidi w:val="0"/>
              <w:spacing w:before="0" w:after="283"/>
              <w:jc w:val="left"/>
              <w:rPr/>
            </w:pPr>
            <w:r>
              <w:rPr/>
              <w:t>The traceable sequence linking a principal, agent, delegate, action, evidence, and resulting state transition</w:t>
            </w:r>
          </w:p>
        </w:tc>
      </w:tr>
      <w:tr>
        <w:trPr/>
        <w:tc>
          <w:tcPr>
            <w:tcW w:w="3721" w:type="dxa"/>
            <w:tcBorders/>
            <w:vAlign w:val="center"/>
          </w:tcPr>
          <w:p>
            <w:pPr>
              <w:pStyle w:val="TableContents"/>
              <w:bidi w:val="0"/>
              <w:spacing w:before="0" w:after="283"/>
              <w:jc w:val="left"/>
              <w:rPr/>
            </w:pPr>
            <w:r>
              <w:rPr>
                <w:rStyle w:val="SourceText"/>
              </w:rPr>
              <w:t>transparency log</w:t>
            </w:r>
          </w:p>
        </w:tc>
        <w:tc>
          <w:tcPr>
            <w:tcW w:w="15108" w:type="dxa"/>
            <w:tcBorders/>
            <w:vAlign w:val="center"/>
          </w:tcPr>
          <w:p>
            <w:pPr>
              <w:pStyle w:val="TableContents"/>
              <w:bidi w:val="0"/>
              <w:spacing w:before="0" w:after="283"/>
              <w:jc w:val="left"/>
              <w:rPr/>
            </w:pPr>
            <w:r>
              <w:rPr/>
              <w:t>An append-oriented record of public issuance, status change, revocation, or other identity-relevant events</w:t>
            </w:r>
          </w:p>
        </w:tc>
      </w:tr>
    </w:tbl>
    <w:p>
      <w:pPr>
        <w:pStyle w:val="Heading2"/>
        <w:bidi w:val="0"/>
        <w:jc w:val="left"/>
        <w:rPr/>
      </w:pPr>
      <w:r>
        <w:rPr/>
        <w:t>5. Design Principles</w:t>
      </w:r>
    </w:p>
    <w:p>
      <w:pPr>
        <w:pStyle w:val="BodyText"/>
        <w:bidi w:val="0"/>
        <w:jc w:val="left"/>
        <w:rPr/>
      </w:pPr>
      <w:r>
        <w:rPr/>
        <w:t xml:space="preserve">An implementation of </w:t>
      </w:r>
      <w:r>
        <w:rPr>
          <w:rStyle w:val="SourceText"/>
        </w:rPr>
        <w:t>GAID</w:t>
      </w:r>
      <w:r>
        <w:rPr/>
        <w:t>:</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treat agent identity as a governance artifact, not merely a UI label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separate stable identity from mutable runtime configuration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distinguish enduring subject identity from versioned operating state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preserve a durable mapping from agent identity to issuing authority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distinguish declared capability from verified capability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distinguish capability, job qualification, authorization, and runtime autonomy </w:t>
      </w:r>
    </w:p>
    <w:p>
      <w:pPr>
        <w:pStyle w:val="BodyText"/>
        <w:numPr>
          <w:ilvl w:val="0"/>
          <w:numId w:val="9"/>
        </w:numPr>
        <w:tabs>
          <w:tab w:val="clear" w:pos="1134"/>
          <w:tab w:val="left" w:pos="709" w:leader="none"/>
        </w:tabs>
        <w:bidi w:val="0"/>
        <w:spacing w:before="0" w:after="0"/>
        <w:ind w:hanging="283" w:left="709"/>
        <w:jc w:val="left"/>
        <w:rPr/>
      </w:pPr>
      <w:r>
        <w:rPr>
          <w:rStyle w:val="SourceText"/>
        </w:rPr>
        <w:t>MUST NOT</w:t>
      </w:r>
      <w:r>
        <w:rPr/>
        <w:t xml:space="preserve"> treat a qualification badge as live authorization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distinguish local authorization from portable authorization class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preserve chain-of-custody for consequential actions </w:t>
      </w:r>
    </w:p>
    <w:p>
      <w:pPr>
        <w:pStyle w:val="BodyText"/>
        <w:numPr>
          <w:ilvl w:val="0"/>
          <w:numId w:val="9"/>
        </w:numPr>
        <w:tabs>
          <w:tab w:val="clear" w:pos="1134"/>
          <w:tab w:val="left" w:pos="709" w:leader="none"/>
        </w:tabs>
        <w:bidi w:val="0"/>
        <w:spacing w:before="0" w:after="0"/>
        <w:ind w:hanging="283" w:left="709"/>
        <w:jc w:val="left"/>
        <w:rPr/>
      </w:pPr>
      <w:r>
        <w:rPr>
          <w:rStyle w:val="SourceText"/>
        </w:rPr>
        <w:t>MUST</w:t>
      </w:r>
      <w:r>
        <w:rPr/>
        <w:t xml:space="preserve"> distinguish complete internal chain-of-custody from the minimized identity view disclosed across an administrative boundary </w:t>
      </w:r>
    </w:p>
    <w:p>
      <w:pPr>
        <w:pStyle w:val="BodyText"/>
        <w:numPr>
          <w:ilvl w:val="0"/>
          <w:numId w:val="9"/>
        </w:numPr>
        <w:tabs>
          <w:tab w:val="clear" w:pos="1134"/>
          <w:tab w:val="left" w:pos="709" w:leader="none"/>
        </w:tabs>
        <w:bidi w:val="0"/>
        <w:spacing w:before="0" w:after="0"/>
        <w:ind w:hanging="283" w:left="709"/>
        <w:jc w:val="left"/>
        <w:rPr/>
      </w:pPr>
      <w:r>
        <w:rPr>
          <w:rStyle w:val="SourceText"/>
        </w:rPr>
        <w:t>SHOULD</w:t>
      </w:r>
      <w:r>
        <w:rPr/>
        <w:t xml:space="preserve"> support both private and public operation without forcing them to share a single namespace </w:t>
      </w:r>
    </w:p>
    <w:p>
      <w:pPr>
        <w:pStyle w:val="BodyText"/>
        <w:numPr>
          <w:ilvl w:val="0"/>
          <w:numId w:val="9"/>
        </w:numPr>
        <w:tabs>
          <w:tab w:val="clear" w:pos="1134"/>
          <w:tab w:val="left" w:pos="709" w:leader="none"/>
        </w:tabs>
        <w:bidi w:val="0"/>
        <w:spacing w:before="0" w:after="0"/>
        <w:ind w:hanging="283" w:left="709"/>
        <w:jc w:val="left"/>
        <w:rPr/>
      </w:pPr>
      <w:r>
        <w:rPr>
          <w:rStyle w:val="SourceText"/>
        </w:rPr>
        <w:t>SHOULD</w:t>
      </w:r>
      <w:r>
        <w:rPr/>
        <w:t xml:space="preserve"> expose enough structured metadata that relying parties do not need trial-and-error to determine whether an agent is fit for purpose </w:t>
      </w:r>
    </w:p>
    <w:p>
      <w:pPr>
        <w:pStyle w:val="BodyText"/>
        <w:numPr>
          <w:ilvl w:val="0"/>
          <w:numId w:val="9"/>
        </w:numPr>
        <w:tabs>
          <w:tab w:val="clear" w:pos="1134"/>
          <w:tab w:val="left" w:pos="709" w:leader="none"/>
        </w:tabs>
        <w:bidi w:val="0"/>
        <w:ind w:hanging="283" w:left="709"/>
        <w:jc w:val="left"/>
        <w:rPr/>
      </w:pPr>
      <w:r>
        <w:rPr>
          <w:rStyle w:val="SourceText"/>
        </w:rPr>
        <w:t>MAY</w:t>
      </w:r>
      <w:r>
        <w:rPr/>
        <w:t xml:space="preserve"> support additional badge vocabularies, sectors, or regulatory overlays so long as the core identity and receipt semantics are preserved </w:t>
      </w:r>
    </w:p>
    <w:p>
      <w:pPr>
        <w:pStyle w:val="Heading2"/>
        <w:bidi w:val="0"/>
        <w:jc w:val="left"/>
        <w:rPr/>
      </w:pPr>
      <w:r>
        <w:rPr/>
        <w:t>6. Namespace and Issuer Model</w:t>
      </w:r>
    </w:p>
    <w:p>
      <w:pPr>
        <w:pStyle w:val="Heading3"/>
        <w:bidi w:val="0"/>
        <w:jc w:val="left"/>
        <w:rPr/>
      </w:pPr>
      <w:r>
        <w:rPr/>
        <w:t>6.1 Core Requirement</w:t>
      </w:r>
    </w:p>
    <w:p>
      <w:pPr>
        <w:pStyle w:val="BodyText"/>
        <w:bidi w:val="0"/>
        <w:jc w:val="left"/>
        <w:rPr/>
      </w:pPr>
      <w:r>
        <w:rPr/>
        <w:t xml:space="preserve">Every materially distinct AI agent subject </w:t>
      </w:r>
      <w:r>
        <w:rPr>
          <w:rStyle w:val="SourceText"/>
        </w:rPr>
        <w:t>MUST</w:t>
      </w:r>
      <w:r>
        <w:rPr/>
        <w:t xml:space="preserve"> have a stable identifier.</w:t>
      </w:r>
    </w:p>
    <w:p>
      <w:pPr>
        <w:pStyle w:val="BodyText"/>
        <w:bidi w:val="0"/>
        <w:jc w:val="left"/>
        <w:rPr/>
      </w:pPr>
      <w:r>
        <w:rPr/>
        <w:t xml:space="preserve">The identifier </w:t>
      </w:r>
      <w:r>
        <w:rPr>
          <w:rStyle w:val="SourceText"/>
        </w:rPr>
        <w:t>MUST</w:t>
      </w:r>
      <w:r>
        <w:rPr/>
        <w:t xml:space="preserve"> be:</w:t>
      </w:r>
    </w:p>
    <w:p>
      <w:pPr>
        <w:pStyle w:val="BodyText"/>
        <w:numPr>
          <w:ilvl w:val="0"/>
          <w:numId w:val="10"/>
        </w:numPr>
        <w:tabs>
          <w:tab w:val="clear" w:pos="1134"/>
          <w:tab w:val="left" w:pos="709" w:leader="none"/>
        </w:tabs>
        <w:bidi w:val="0"/>
        <w:spacing w:before="0" w:after="0"/>
        <w:ind w:hanging="283" w:left="709"/>
        <w:jc w:val="left"/>
        <w:rPr/>
      </w:pPr>
      <w:r>
        <w:rPr/>
        <w:t xml:space="preserve">unique within its issuing scope </w:t>
      </w:r>
    </w:p>
    <w:p>
      <w:pPr>
        <w:pStyle w:val="BodyText"/>
        <w:numPr>
          <w:ilvl w:val="0"/>
          <w:numId w:val="10"/>
        </w:numPr>
        <w:tabs>
          <w:tab w:val="clear" w:pos="1134"/>
          <w:tab w:val="left" w:pos="709" w:leader="none"/>
        </w:tabs>
        <w:bidi w:val="0"/>
        <w:spacing w:before="0" w:after="0"/>
        <w:ind w:hanging="283" w:left="709"/>
        <w:jc w:val="left"/>
        <w:rPr/>
      </w:pPr>
      <w:r>
        <w:rPr/>
        <w:t xml:space="preserve">durable across routine configuration and model-version changes </w:t>
      </w:r>
    </w:p>
    <w:p>
      <w:pPr>
        <w:pStyle w:val="BodyText"/>
        <w:numPr>
          <w:ilvl w:val="0"/>
          <w:numId w:val="10"/>
        </w:numPr>
        <w:tabs>
          <w:tab w:val="clear" w:pos="1134"/>
          <w:tab w:val="left" w:pos="709" w:leader="none"/>
        </w:tabs>
        <w:bidi w:val="0"/>
        <w:spacing w:before="0" w:after="0"/>
        <w:ind w:hanging="283" w:left="709"/>
        <w:jc w:val="left"/>
        <w:rPr/>
      </w:pPr>
      <w:r>
        <w:rPr/>
        <w:t xml:space="preserve">resolvable to a current identity document </w:t>
      </w:r>
    </w:p>
    <w:p>
      <w:pPr>
        <w:pStyle w:val="BodyText"/>
        <w:numPr>
          <w:ilvl w:val="0"/>
          <w:numId w:val="10"/>
        </w:numPr>
        <w:tabs>
          <w:tab w:val="clear" w:pos="1134"/>
          <w:tab w:val="left" w:pos="709" w:leader="none"/>
        </w:tabs>
        <w:bidi w:val="0"/>
        <w:ind w:hanging="283" w:left="709"/>
        <w:jc w:val="left"/>
        <w:rPr/>
      </w:pPr>
      <w:r>
        <w:rPr/>
        <w:t xml:space="preserve">non-ambiguous about whether it is private or public </w:t>
      </w:r>
    </w:p>
    <w:p>
      <w:pPr>
        <w:pStyle w:val="Heading3"/>
        <w:bidi w:val="0"/>
        <w:jc w:val="left"/>
        <w:rPr/>
      </w:pPr>
      <w:r>
        <w:rPr/>
        <w:t>6.2 GAID Syntax</w:t>
      </w:r>
    </w:p>
    <w:p>
      <w:pPr>
        <w:pStyle w:val="BodyText"/>
        <w:bidi w:val="0"/>
        <w:jc w:val="left"/>
        <w:rPr/>
      </w:pPr>
      <w:r>
        <w:rPr/>
        <w:t>This standard defines the following canonical identifier form:</w:t>
      </w:r>
    </w:p>
    <w:p>
      <w:pPr>
        <w:pStyle w:val="BodyText"/>
        <w:bidi w:val="0"/>
        <w:jc w:val="left"/>
        <w:rPr/>
      </w:pPr>
      <w:r>
        <w:rPr>
          <w:rStyle w:val="SourceText"/>
        </w:rPr>
        <w:t>gaid:&lt;scope&gt;:&lt;issuer-prefix&gt;:&lt;agent-local-id&gt;</w:t>
      </w:r>
    </w:p>
    <w:p>
      <w:pPr>
        <w:pStyle w:val="BodyText"/>
        <w:bidi w:val="0"/>
        <w:jc w:val="left"/>
        <w:rPr/>
      </w:pPr>
      <w:r>
        <w:rPr/>
        <w:t>Where:</w:t>
      </w:r>
    </w:p>
    <w:p>
      <w:pPr>
        <w:pStyle w:val="BodyText"/>
        <w:numPr>
          <w:ilvl w:val="0"/>
          <w:numId w:val="11"/>
        </w:numPr>
        <w:tabs>
          <w:tab w:val="clear" w:pos="1134"/>
          <w:tab w:val="left" w:pos="709" w:leader="none"/>
        </w:tabs>
        <w:bidi w:val="0"/>
        <w:spacing w:before="0" w:after="0"/>
        <w:ind w:hanging="283" w:left="709"/>
        <w:jc w:val="left"/>
        <w:rPr/>
      </w:pPr>
      <w:r>
        <w:rPr>
          <w:rStyle w:val="SourceText"/>
        </w:rPr>
        <w:t>&lt;scope&gt;</w:t>
      </w:r>
      <w:r>
        <w:rPr/>
        <w:t xml:space="preserve"> </w:t>
      </w:r>
      <w:r>
        <w:rPr>
          <w:rStyle w:val="SourceText"/>
        </w:rPr>
        <w:t>MUST</w:t>
      </w:r>
      <w:r>
        <w:rPr/>
        <w:t xml:space="preserve"> be either </w:t>
      </w:r>
      <w:r>
        <w:rPr>
          <w:rStyle w:val="SourceText"/>
        </w:rPr>
        <w:t>priv</w:t>
      </w:r>
      <w:r>
        <w:rPr/>
        <w:t xml:space="preserve"> or </w:t>
      </w:r>
      <w:r>
        <w:rPr>
          <w:rStyle w:val="SourceText"/>
        </w:rPr>
        <w:t>pub</w:t>
      </w:r>
      <w:r>
        <w:rPr/>
        <w:t xml:space="preserve"> </w:t>
      </w:r>
    </w:p>
    <w:p>
      <w:pPr>
        <w:pStyle w:val="BodyText"/>
        <w:numPr>
          <w:ilvl w:val="0"/>
          <w:numId w:val="11"/>
        </w:numPr>
        <w:tabs>
          <w:tab w:val="clear" w:pos="1134"/>
          <w:tab w:val="left" w:pos="709" w:leader="none"/>
        </w:tabs>
        <w:bidi w:val="0"/>
        <w:spacing w:before="0" w:after="0"/>
        <w:ind w:hanging="283" w:left="709"/>
        <w:jc w:val="left"/>
        <w:rPr/>
      </w:pPr>
      <w:r>
        <w:rPr>
          <w:rStyle w:val="SourceText"/>
        </w:rPr>
        <w:t>&lt;issuer-prefix&gt;</w:t>
      </w:r>
      <w:r>
        <w:rPr/>
        <w:t xml:space="preserve"> </w:t>
      </w:r>
      <w:r>
        <w:rPr>
          <w:rStyle w:val="SourceText"/>
        </w:rPr>
        <w:t>MUST</w:t>
      </w:r>
      <w:r>
        <w:rPr/>
        <w:t xml:space="preserve"> identify the issuing namespace authority </w:t>
      </w:r>
    </w:p>
    <w:p>
      <w:pPr>
        <w:pStyle w:val="BodyText"/>
        <w:numPr>
          <w:ilvl w:val="0"/>
          <w:numId w:val="11"/>
        </w:numPr>
        <w:tabs>
          <w:tab w:val="clear" w:pos="1134"/>
          <w:tab w:val="left" w:pos="709" w:leader="none"/>
        </w:tabs>
        <w:bidi w:val="0"/>
        <w:ind w:hanging="283" w:left="709"/>
        <w:jc w:val="left"/>
        <w:rPr/>
      </w:pPr>
      <w:r>
        <w:rPr>
          <w:rStyle w:val="SourceText"/>
        </w:rPr>
        <w:t>&lt;agent-local-id&gt;</w:t>
      </w:r>
      <w:r>
        <w:rPr/>
        <w:t xml:space="preserve"> </w:t>
      </w:r>
      <w:r>
        <w:rPr>
          <w:rStyle w:val="SourceText"/>
        </w:rPr>
        <w:t>MUST</w:t>
      </w:r>
      <w:r>
        <w:rPr/>
        <w:t xml:space="preserve"> be unique within that issuer prefix </w:t>
      </w:r>
    </w:p>
    <w:p>
      <w:pPr>
        <w:pStyle w:val="BodyText"/>
        <w:bidi w:val="0"/>
        <w:jc w:val="left"/>
        <w:rPr/>
      </w:pPr>
      <w:r>
        <w:rPr/>
        <w:t>Examples:</w:t>
      </w:r>
    </w:p>
    <w:p>
      <w:pPr>
        <w:pStyle w:val="BodyText"/>
        <w:numPr>
          <w:ilvl w:val="0"/>
          <w:numId w:val="12"/>
        </w:numPr>
        <w:tabs>
          <w:tab w:val="clear" w:pos="1134"/>
          <w:tab w:val="left" w:pos="709" w:leader="none"/>
        </w:tabs>
        <w:bidi w:val="0"/>
        <w:spacing w:before="0" w:after="0"/>
        <w:ind w:hanging="283" w:left="709"/>
        <w:jc w:val="left"/>
        <w:rPr/>
      </w:pPr>
      <w:r>
        <w:rPr>
          <w:rStyle w:val="SourceText"/>
        </w:rPr>
        <w:t>gaid:priv:contoso.internal:hr-onboarding-coordinator</w:t>
      </w:r>
      <w:r>
        <w:rPr/>
        <w:t xml:space="preserve"> </w:t>
      </w:r>
    </w:p>
    <w:p>
      <w:pPr>
        <w:pStyle w:val="BodyText"/>
        <w:numPr>
          <w:ilvl w:val="0"/>
          <w:numId w:val="12"/>
        </w:numPr>
        <w:tabs>
          <w:tab w:val="clear" w:pos="1134"/>
          <w:tab w:val="left" w:pos="709" w:leader="none"/>
        </w:tabs>
        <w:bidi w:val="0"/>
        <w:ind w:hanging="283" w:left="709"/>
        <w:jc w:val="left"/>
        <w:rPr/>
      </w:pPr>
      <w:r>
        <w:rPr>
          <w:rStyle w:val="SourceText"/>
        </w:rPr>
        <w:t>gaid:pub:example.ai:claims-review-agent</w:t>
      </w:r>
      <w:r>
        <w:rPr/>
        <w:t xml:space="preserve"> </w:t>
      </w:r>
    </w:p>
    <w:p>
      <w:pPr>
        <w:pStyle w:val="BodyText"/>
        <w:bidi w:val="0"/>
        <w:jc w:val="left"/>
        <w:rPr/>
      </w:pPr>
      <w:r>
        <w:rPr/>
        <w:t xml:space="preserve">An implementation </w:t>
      </w:r>
      <w:r>
        <w:rPr>
          <w:rStyle w:val="SourceText"/>
        </w:rPr>
        <w:t>MAY</w:t>
      </w:r>
      <w:r>
        <w:rPr/>
        <w:t xml:space="preserve"> maintain additional internal identifiers, but the canonical </w:t>
      </w:r>
      <w:r>
        <w:rPr>
          <w:rStyle w:val="SourceText"/>
        </w:rPr>
        <w:t>GAID</w:t>
      </w:r>
      <w:r>
        <w:rPr/>
        <w:t xml:space="preserve"> </w:t>
      </w:r>
      <w:r>
        <w:rPr>
          <w:rStyle w:val="SourceText"/>
        </w:rPr>
        <w:t>MUST</w:t>
      </w:r>
      <w:r>
        <w:rPr/>
        <w:t xml:space="preserve"> remain the primary interoperable identifier.</w:t>
      </w:r>
    </w:p>
    <w:p>
      <w:pPr>
        <w:pStyle w:val="BodyText"/>
        <w:bidi w:val="0"/>
        <w:jc w:val="left"/>
        <w:rPr/>
      </w:pPr>
      <w:r>
        <w:rPr/>
        <w:t xml:space="preserve">Public standardization of the identifier form remains an open deployment task. A future public profile </w:t>
      </w:r>
      <w:r>
        <w:rPr>
          <w:rStyle w:val="SourceText"/>
        </w:rPr>
        <w:t>SHOULD</w:t>
      </w:r>
      <w:r>
        <w:rPr/>
        <w:t xml:space="preserve"> either register </w:t>
      </w:r>
      <w:r>
        <w:rPr>
          <w:rStyle w:val="SourceText"/>
        </w:rPr>
        <w:t>GAID</w:t>
      </w:r>
      <w:r>
        <w:rPr/>
        <w:t xml:space="preserve"> as a URI scheme or profile it as a </w:t>
      </w:r>
      <w:r>
        <w:rPr>
          <w:rStyle w:val="SourceText"/>
        </w:rPr>
        <w:t>URN</w:t>
      </w:r>
      <w:r>
        <w:rPr/>
        <w:t xml:space="preserve"> namespace in line with the relevant IANA process, rather than leaving the colon-delimited form permanently informal.</w:t>
      </w:r>
    </w:p>
    <w:p>
      <w:pPr>
        <w:pStyle w:val="BodyText"/>
        <w:bidi w:val="0"/>
        <w:jc w:val="left"/>
        <w:rPr/>
      </w:pPr>
      <w:r>
        <w:rPr/>
        <w:t xml:space="preserve">An early public-federation work item </w:t>
      </w:r>
      <w:r>
        <w:rPr>
          <w:rStyle w:val="SourceText"/>
        </w:rPr>
        <w:t>SHOULD</w:t>
      </w:r>
      <w:r>
        <w:rPr/>
        <w:t xml:space="preserve"> therefore include an explicit IANA registration plan, naming authority expectations, and backward-compatibility rules for private deployments that began before a public namespace decision was finalized.</w:t>
      </w:r>
    </w:p>
    <w:p>
      <w:pPr>
        <w:pStyle w:val="BodyText"/>
        <w:bidi w:val="0"/>
        <w:jc w:val="left"/>
        <w:rPr/>
      </w:pPr>
      <w:r>
        <w:rPr/>
        <w:drawing>
          <wp:inline distT="0" distB="0" distL="0" distR="0">
            <wp:extent cx="22402800" cy="2514600"/>
            <wp:effectExtent l="0" t="0" r="0" b="0"/>
            <wp:docPr id="1" name="Image1" descr="GAID namespa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GAID namespace model"/>
                    <pic:cNvPicPr>
                      <a:picLocks noChangeAspect="1" noChangeArrowheads="1"/>
                    </pic:cNvPicPr>
                  </pic:nvPicPr>
                  <pic:blipFill>
                    <a:blip r:embed="rId64"/>
                    <a:stretch>
                      <a:fillRect/>
                    </a:stretch>
                  </pic:blipFill>
                  <pic:spPr bwMode="auto">
                    <a:xfrm>
                      <a:off x="0" y="0"/>
                      <a:ext cx="22402800" cy="2514600"/>
                    </a:xfrm>
                    <a:prstGeom prst="rect">
                      <a:avLst/>
                    </a:prstGeom>
                    <a:noFill/>
                  </pic:spPr>
                </pic:pic>
              </a:graphicData>
            </a:graphic>
          </wp:inline>
        </w:drawing>
      </w:r>
    </w:p>
    <w:p>
      <w:pPr>
        <w:pStyle w:val="BodyText"/>
        <w:bidi w:val="0"/>
        <w:jc w:val="left"/>
        <w:rPr/>
      </w:pPr>
      <w:r>
        <w:rPr>
          <w:rStyle w:val="Emphasis"/>
        </w:rPr>
        <w:t xml:space="preserve">Figure 1. </w:t>
      </w:r>
      <w:r>
        <w:rPr>
          <w:rStyle w:val="SourceText"/>
        </w:rPr>
        <w:t>GAID</w:t>
      </w:r>
      <w:r>
        <w:rPr>
          <w:rStyle w:val="Emphasis"/>
        </w:rPr>
        <w:t xml:space="preserve"> separates private and public namespaces while preserving governed mapping between them.</w:t>
      </w:r>
    </w:p>
    <w:p>
      <w:pPr>
        <w:pStyle w:val="Heading3"/>
        <w:bidi w:val="0"/>
        <w:jc w:val="left"/>
        <w:rPr/>
      </w:pPr>
      <w:r>
        <w:rPr/>
        <w:t>6.3 Public Namespace</w:t>
      </w:r>
    </w:p>
    <w:p>
      <w:pPr>
        <w:pStyle w:val="BodyText"/>
        <w:bidi w:val="0"/>
        <w:jc w:val="left"/>
        <w:rPr/>
      </w:pPr>
      <w:r>
        <w:rPr/>
        <w:t xml:space="preserve">A </w:t>
      </w:r>
      <w:r>
        <w:rPr>
          <w:rStyle w:val="SourceText"/>
        </w:rPr>
        <w:t>GAID-Public</w:t>
      </w:r>
      <w:r>
        <w:rPr/>
        <w:t xml:space="preserve"> implementation </w:t>
      </w:r>
      <w:r>
        <w:rPr>
          <w:rStyle w:val="SourceText"/>
        </w:rPr>
        <w:t>MUST</w:t>
      </w:r>
      <w:r>
        <w:rPr/>
        <w:t xml:space="preserve"> operate under a namespace that is globally recognizable and administratively governed.</w:t>
      </w:r>
    </w:p>
    <w:p>
      <w:pPr>
        <w:pStyle w:val="BodyText"/>
        <w:bidi w:val="0"/>
        <w:jc w:val="left"/>
        <w:rPr/>
      </w:pPr>
      <w:r>
        <w:rPr/>
        <w:t>For public identifiers:</w:t>
      </w:r>
    </w:p>
    <w:p>
      <w:pPr>
        <w:pStyle w:val="BodyText"/>
        <w:numPr>
          <w:ilvl w:val="0"/>
          <w:numId w:val="13"/>
        </w:numPr>
        <w:tabs>
          <w:tab w:val="clear" w:pos="1134"/>
          <w:tab w:val="left" w:pos="709" w:leader="none"/>
        </w:tabs>
        <w:bidi w:val="0"/>
        <w:spacing w:before="0" w:after="0"/>
        <w:ind w:hanging="283" w:left="709"/>
        <w:jc w:val="left"/>
        <w:rPr/>
      </w:pPr>
      <w:r>
        <w:rPr/>
        <w:t xml:space="preserve">the issuer prefix </w:t>
      </w:r>
      <w:r>
        <w:rPr>
          <w:rStyle w:val="SourceText"/>
        </w:rPr>
        <w:t>MUST</w:t>
      </w:r>
      <w:r>
        <w:rPr/>
        <w:t xml:space="preserve"> be controlled by the issuing authority or its delegate </w:t>
      </w:r>
    </w:p>
    <w:p>
      <w:pPr>
        <w:pStyle w:val="BodyText"/>
        <w:numPr>
          <w:ilvl w:val="0"/>
          <w:numId w:val="13"/>
        </w:numPr>
        <w:tabs>
          <w:tab w:val="clear" w:pos="1134"/>
          <w:tab w:val="left" w:pos="709" w:leader="none"/>
        </w:tabs>
        <w:bidi w:val="0"/>
        <w:spacing w:before="0" w:after="0"/>
        <w:ind w:hanging="283" w:left="709"/>
        <w:jc w:val="left"/>
        <w:rPr/>
      </w:pPr>
      <w:r>
        <w:rPr/>
        <w:t xml:space="preserve">the issuing authority </w:t>
      </w:r>
      <w:r>
        <w:rPr>
          <w:rStyle w:val="SourceText"/>
        </w:rPr>
        <w:t>MUST</w:t>
      </w:r>
      <w:r>
        <w:rPr/>
        <w:t xml:space="preserve"> publish its validation material and status process </w:t>
      </w:r>
    </w:p>
    <w:p>
      <w:pPr>
        <w:pStyle w:val="BodyText"/>
        <w:numPr>
          <w:ilvl w:val="0"/>
          <w:numId w:val="13"/>
        </w:numPr>
        <w:tabs>
          <w:tab w:val="clear" w:pos="1134"/>
          <w:tab w:val="left" w:pos="709" w:leader="none"/>
        </w:tabs>
        <w:bidi w:val="0"/>
        <w:spacing w:before="0" w:after="0"/>
        <w:ind w:hanging="283" w:left="709"/>
        <w:jc w:val="left"/>
        <w:rPr/>
      </w:pPr>
      <w:r>
        <w:rPr/>
        <w:t xml:space="preserve">the identifier </w:t>
      </w:r>
      <w:r>
        <w:rPr>
          <w:rStyle w:val="SourceText"/>
        </w:rPr>
        <w:t>MUST</w:t>
      </w:r>
      <w:r>
        <w:rPr/>
        <w:t xml:space="preserve"> resolve to a current </w:t>
      </w:r>
      <w:r>
        <w:rPr>
          <w:rStyle w:val="SourceText"/>
        </w:rPr>
        <w:t>AIDoc</w:t>
      </w:r>
      <w:r>
        <w:rPr/>
        <w:t xml:space="preserve"> </w:t>
      </w:r>
    </w:p>
    <w:p>
      <w:pPr>
        <w:pStyle w:val="BodyText"/>
        <w:numPr>
          <w:ilvl w:val="0"/>
          <w:numId w:val="13"/>
        </w:numPr>
        <w:tabs>
          <w:tab w:val="clear" w:pos="1134"/>
          <w:tab w:val="left" w:pos="709" w:leader="none"/>
        </w:tabs>
        <w:bidi w:val="0"/>
        <w:ind w:hanging="283" w:left="709"/>
        <w:jc w:val="left"/>
        <w:rPr/>
      </w:pPr>
      <w:r>
        <w:rPr/>
        <w:t xml:space="preserve">the issuer </w:t>
      </w:r>
      <w:r>
        <w:rPr>
          <w:rStyle w:val="SourceText"/>
        </w:rPr>
        <w:t>MUST</w:t>
      </w:r>
      <w:r>
        <w:rPr/>
        <w:t xml:space="preserve"> support revocation and status inquiry </w:t>
      </w:r>
    </w:p>
    <w:p>
      <w:pPr>
        <w:pStyle w:val="BodyText"/>
        <w:bidi w:val="0"/>
        <w:jc w:val="left"/>
        <w:rPr/>
      </w:pPr>
      <w:r>
        <w:rPr/>
        <w:t xml:space="preserve">An issuer prefix </w:t>
      </w:r>
      <w:r>
        <w:rPr>
          <w:rStyle w:val="SourceText"/>
        </w:rPr>
        <w:t>SHOULD</w:t>
      </w:r>
      <w:r>
        <w:rPr/>
        <w:t xml:space="preserve"> be derived from or bound to a verifiable public namespace such as:</w:t>
      </w:r>
    </w:p>
    <w:p>
      <w:pPr>
        <w:pStyle w:val="BodyText"/>
        <w:numPr>
          <w:ilvl w:val="0"/>
          <w:numId w:val="14"/>
        </w:numPr>
        <w:tabs>
          <w:tab w:val="clear" w:pos="1134"/>
          <w:tab w:val="left" w:pos="709" w:leader="none"/>
        </w:tabs>
        <w:bidi w:val="0"/>
        <w:spacing w:before="0" w:after="0"/>
        <w:ind w:hanging="283" w:left="709"/>
        <w:jc w:val="left"/>
        <w:rPr/>
      </w:pPr>
      <w:r>
        <w:rPr/>
        <w:t xml:space="preserve">an internet domain under the issuer's control </w:t>
      </w:r>
    </w:p>
    <w:p>
      <w:pPr>
        <w:pStyle w:val="BodyText"/>
        <w:numPr>
          <w:ilvl w:val="0"/>
          <w:numId w:val="14"/>
        </w:numPr>
        <w:tabs>
          <w:tab w:val="clear" w:pos="1134"/>
          <w:tab w:val="left" w:pos="709" w:leader="none"/>
        </w:tabs>
        <w:bidi w:val="0"/>
        <w:spacing w:before="0" w:after="0"/>
        <w:ind w:hanging="283" w:left="709"/>
        <w:jc w:val="left"/>
        <w:rPr/>
      </w:pPr>
      <w:r>
        <w:rPr/>
        <w:t xml:space="preserve">a recognized government or industry registration namespace </w:t>
      </w:r>
    </w:p>
    <w:p>
      <w:pPr>
        <w:pStyle w:val="BodyText"/>
        <w:numPr>
          <w:ilvl w:val="0"/>
          <w:numId w:val="14"/>
        </w:numPr>
        <w:tabs>
          <w:tab w:val="clear" w:pos="1134"/>
          <w:tab w:val="left" w:pos="709" w:leader="none"/>
        </w:tabs>
        <w:bidi w:val="0"/>
        <w:ind w:hanging="283" w:left="709"/>
        <w:jc w:val="left"/>
        <w:rPr/>
      </w:pPr>
      <w:r>
        <w:rPr/>
        <w:t xml:space="preserve">a delegated sub-namespace allocated by an accredited root or federation </w:t>
      </w:r>
    </w:p>
    <w:p>
      <w:pPr>
        <w:pStyle w:val="Heading3"/>
        <w:bidi w:val="0"/>
        <w:jc w:val="left"/>
        <w:rPr/>
      </w:pPr>
      <w:r>
        <w:rPr/>
        <w:t>6.4 Private Namespace</w:t>
      </w:r>
    </w:p>
    <w:p>
      <w:pPr>
        <w:pStyle w:val="BodyText"/>
        <w:bidi w:val="0"/>
        <w:jc w:val="left"/>
        <w:rPr/>
      </w:pPr>
      <w:r>
        <w:rPr/>
        <w:t xml:space="preserve">A </w:t>
      </w:r>
      <w:r>
        <w:rPr>
          <w:rStyle w:val="SourceText"/>
        </w:rPr>
        <w:t>GAID-Private</w:t>
      </w:r>
      <w:r>
        <w:rPr/>
        <w:t xml:space="preserve"> implementation </w:t>
      </w:r>
      <w:r>
        <w:rPr>
          <w:rStyle w:val="SourceText"/>
        </w:rPr>
        <w:t>MAY</w:t>
      </w:r>
      <w:r>
        <w:rPr/>
        <w:t xml:space="preserve"> issue internal identifiers without global registration.</w:t>
      </w:r>
    </w:p>
    <w:p>
      <w:pPr>
        <w:pStyle w:val="BodyText"/>
        <w:bidi w:val="0"/>
        <w:jc w:val="left"/>
        <w:rPr/>
      </w:pPr>
      <w:r>
        <w:rPr/>
        <w:t>For private identifiers:</w:t>
      </w:r>
    </w:p>
    <w:p>
      <w:pPr>
        <w:pStyle w:val="BodyText"/>
        <w:numPr>
          <w:ilvl w:val="0"/>
          <w:numId w:val="15"/>
        </w:numPr>
        <w:tabs>
          <w:tab w:val="clear" w:pos="1134"/>
          <w:tab w:val="left" w:pos="709" w:leader="none"/>
        </w:tabs>
        <w:bidi w:val="0"/>
        <w:spacing w:before="0" w:after="0"/>
        <w:ind w:hanging="283" w:left="709"/>
        <w:jc w:val="left"/>
        <w:rPr/>
      </w:pPr>
      <w:r>
        <w:rPr/>
        <w:t xml:space="preserve">the issuer </w:t>
      </w:r>
      <w:r>
        <w:rPr>
          <w:rStyle w:val="SourceText"/>
        </w:rPr>
        <w:t>MUST</w:t>
      </w:r>
      <w:r>
        <w:rPr/>
        <w:t xml:space="preserve"> ensure uniqueness within its boundary </w:t>
      </w:r>
    </w:p>
    <w:p>
      <w:pPr>
        <w:pStyle w:val="BodyText"/>
        <w:numPr>
          <w:ilvl w:val="0"/>
          <w:numId w:val="15"/>
        </w:numPr>
        <w:tabs>
          <w:tab w:val="clear" w:pos="1134"/>
          <w:tab w:val="left" w:pos="709" w:leader="none"/>
        </w:tabs>
        <w:bidi w:val="0"/>
        <w:spacing w:before="0" w:after="0"/>
        <w:ind w:hanging="283" w:left="709"/>
        <w:jc w:val="left"/>
        <w:rPr/>
      </w:pPr>
      <w:r>
        <w:rPr/>
        <w:t xml:space="preserve">the issuer </w:t>
      </w:r>
      <w:r>
        <w:rPr>
          <w:rStyle w:val="SourceText"/>
        </w:rPr>
        <w:t>MUST</w:t>
      </w:r>
      <w:r>
        <w:rPr/>
        <w:t xml:space="preserve"> maintain a local resolution mechanism </w:t>
      </w:r>
    </w:p>
    <w:p>
      <w:pPr>
        <w:pStyle w:val="BodyText"/>
        <w:numPr>
          <w:ilvl w:val="0"/>
          <w:numId w:val="15"/>
        </w:numPr>
        <w:tabs>
          <w:tab w:val="clear" w:pos="1134"/>
          <w:tab w:val="left" w:pos="709" w:leader="none"/>
        </w:tabs>
        <w:bidi w:val="0"/>
        <w:spacing w:before="0" w:after="0"/>
        <w:ind w:hanging="283" w:left="709"/>
        <w:jc w:val="left"/>
        <w:rPr/>
      </w:pPr>
      <w:r>
        <w:rPr/>
        <w:t xml:space="preserve">the issuer </w:t>
      </w:r>
      <w:r>
        <w:rPr>
          <w:rStyle w:val="SourceText"/>
        </w:rPr>
        <w:t>SHOULD</w:t>
      </w:r>
      <w:r>
        <w:rPr/>
        <w:t xml:space="preserve"> maintain an internal status and revocation record </w:t>
      </w:r>
    </w:p>
    <w:p>
      <w:pPr>
        <w:pStyle w:val="BodyText"/>
        <w:numPr>
          <w:ilvl w:val="0"/>
          <w:numId w:val="15"/>
        </w:numPr>
        <w:tabs>
          <w:tab w:val="clear" w:pos="1134"/>
          <w:tab w:val="left" w:pos="709" w:leader="none"/>
        </w:tabs>
        <w:bidi w:val="0"/>
        <w:spacing w:before="0" w:after="0"/>
        <w:ind w:hanging="283" w:left="709"/>
        <w:jc w:val="left"/>
        <w:rPr/>
      </w:pPr>
      <w:r>
        <w:rPr/>
        <w:t xml:space="preserve">the issuer prefix </w:t>
      </w:r>
      <w:r>
        <w:rPr>
          <w:rStyle w:val="SourceText"/>
        </w:rPr>
        <w:t>MUST</w:t>
      </w:r>
      <w:r>
        <w:rPr/>
        <w:t xml:space="preserve"> include a stable installation, domain, or equivalent namespace discriminator so future federation does not require subject renaming </w:t>
      </w:r>
    </w:p>
    <w:p>
      <w:pPr>
        <w:pStyle w:val="BodyText"/>
        <w:numPr>
          <w:ilvl w:val="0"/>
          <w:numId w:val="15"/>
        </w:numPr>
        <w:tabs>
          <w:tab w:val="clear" w:pos="1134"/>
          <w:tab w:val="left" w:pos="709" w:leader="none"/>
        </w:tabs>
        <w:bidi w:val="0"/>
        <w:ind w:hanging="283" w:left="709"/>
        <w:jc w:val="left"/>
        <w:rPr/>
      </w:pPr>
      <w:r>
        <w:rPr/>
        <w:t xml:space="preserve">the identifier </w:t>
      </w:r>
      <w:r>
        <w:rPr>
          <w:rStyle w:val="SourceText"/>
        </w:rPr>
        <w:t>MUST NOT</w:t>
      </w:r>
      <w:r>
        <w:rPr/>
        <w:t xml:space="preserve"> be represented as publicly accredited unless it has passed through a recognized public issuance process </w:t>
      </w:r>
    </w:p>
    <w:p>
      <w:pPr>
        <w:pStyle w:val="Heading3"/>
        <w:bidi w:val="0"/>
        <w:jc w:val="left"/>
        <w:rPr/>
      </w:pPr>
      <w:r>
        <w:rPr/>
        <w:t>6.5 Boundary Mapping</w:t>
      </w:r>
    </w:p>
    <w:p>
      <w:pPr>
        <w:pStyle w:val="BodyText"/>
        <w:bidi w:val="0"/>
        <w:jc w:val="left"/>
        <w:rPr/>
      </w:pPr>
      <w:r>
        <w:rPr/>
        <w:t xml:space="preserve">An agent exposed outside its original administrative boundary </w:t>
      </w:r>
      <w:r>
        <w:rPr>
          <w:rStyle w:val="SourceText"/>
        </w:rPr>
        <w:t>MUST NOT</w:t>
      </w:r>
      <w:r>
        <w:rPr/>
        <w:t xml:space="preserve"> rely solely on a private identifier.</w:t>
      </w:r>
    </w:p>
    <w:p>
      <w:pPr>
        <w:pStyle w:val="BodyText"/>
        <w:bidi w:val="0"/>
        <w:jc w:val="left"/>
        <w:rPr/>
      </w:pPr>
      <w:r>
        <w:rPr/>
        <w:t>Where a private agent is exposed publicly:</w:t>
      </w:r>
    </w:p>
    <w:p>
      <w:pPr>
        <w:pStyle w:val="BodyText"/>
        <w:numPr>
          <w:ilvl w:val="0"/>
          <w:numId w:val="16"/>
        </w:numPr>
        <w:tabs>
          <w:tab w:val="clear" w:pos="1134"/>
          <w:tab w:val="left" w:pos="709" w:leader="none"/>
        </w:tabs>
        <w:bidi w:val="0"/>
        <w:spacing w:before="0" w:after="0"/>
        <w:ind w:hanging="283" w:left="709"/>
        <w:jc w:val="left"/>
        <w:rPr/>
      </w:pPr>
      <w:r>
        <w:rPr/>
        <w:t xml:space="preserve">a public </w:t>
      </w:r>
      <w:r>
        <w:rPr>
          <w:rStyle w:val="SourceText"/>
        </w:rPr>
        <w:t>GAID</w:t>
      </w:r>
      <w:r>
        <w:rPr/>
        <w:t xml:space="preserve"> </w:t>
      </w:r>
      <w:r>
        <w:rPr>
          <w:rStyle w:val="SourceText"/>
        </w:rPr>
        <w:t>MUST</w:t>
      </w:r>
      <w:r>
        <w:rPr/>
        <w:t xml:space="preserve"> be assigned </w:t>
      </w:r>
    </w:p>
    <w:p>
      <w:pPr>
        <w:pStyle w:val="BodyText"/>
        <w:numPr>
          <w:ilvl w:val="0"/>
          <w:numId w:val="16"/>
        </w:numPr>
        <w:tabs>
          <w:tab w:val="clear" w:pos="1134"/>
          <w:tab w:val="left" w:pos="709" w:leader="none"/>
        </w:tabs>
        <w:bidi w:val="0"/>
        <w:spacing w:before="0" w:after="0"/>
        <w:ind w:hanging="283" w:left="709"/>
        <w:jc w:val="left"/>
        <w:rPr/>
      </w:pPr>
      <w:r>
        <w:rPr/>
        <w:t xml:space="preserve">the relationship between the private and public identifiers </w:t>
      </w:r>
      <w:r>
        <w:rPr>
          <w:rStyle w:val="SourceText"/>
        </w:rPr>
        <w:t>MUST</w:t>
      </w:r>
      <w:r>
        <w:rPr/>
        <w:t xml:space="preserve"> be recorded </w:t>
      </w:r>
    </w:p>
    <w:p>
      <w:pPr>
        <w:pStyle w:val="BodyText"/>
        <w:numPr>
          <w:ilvl w:val="0"/>
          <w:numId w:val="16"/>
        </w:numPr>
        <w:tabs>
          <w:tab w:val="clear" w:pos="1134"/>
          <w:tab w:val="left" w:pos="709" w:leader="none"/>
        </w:tabs>
        <w:bidi w:val="0"/>
        <w:spacing w:before="0" w:after="0"/>
        <w:ind w:hanging="283" w:left="709"/>
        <w:jc w:val="left"/>
        <w:rPr/>
      </w:pPr>
      <w:r>
        <w:rPr/>
        <w:t xml:space="preserve">the mapping </w:t>
      </w:r>
      <w:r>
        <w:rPr>
          <w:rStyle w:val="SourceText"/>
        </w:rPr>
        <w:t>MUST</w:t>
      </w:r>
      <w:r>
        <w:rPr/>
        <w:t xml:space="preserve"> be visible to authorized auditors </w:t>
      </w:r>
    </w:p>
    <w:p>
      <w:pPr>
        <w:pStyle w:val="BodyText"/>
        <w:numPr>
          <w:ilvl w:val="0"/>
          <w:numId w:val="16"/>
        </w:numPr>
        <w:tabs>
          <w:tab w:val="clear" w:pos="1134"/>
          <w:tab w:val="left" w:pos="709" w:leader="none"/>
        </w:tabs>
        <w:bidi w:val="0"/>
        <w:ind w:hanging="283" w:left="709"/>
        <w:jc w:val="left"/>
        <w:rPr/>
      </w:pPr>
      <w:r>
        <w:rPr/>
        <w:t xml:space="preserve">the mapping </w:t>
      </w:r>
      <w:r>
        <w:rPr>
          <w:rStyle w:val="SourceText"/>
        </w:rPr>
        <w:t>SHOULD NOT</w:t>
      </w:r>
      <w:r>
        <w:rPr/>
        <w:t xml:space="preserve"> disclose internal-only identifiers to general public consumers unless policy requires it </w:t>
      </w:r>
    </w:p>
    <w:p>
      <w:pPr>
        <w:pStyle w:val="BodyText"/>
        <w:bidi w:val="0"/>
        <w:jc w:val="left"/>
        <w:rPr/>
      </w:pPr>
      <w:r>
        <w:rPr/>
        <w:t>A boundary mapping is an alias relationship for one enduring agent subject. It is not a second agent, a temporary network identity, or permission to derive a public identifier from a private identifier without issuer governance.</w:t>
      </w:r>
    </w:p>
    <w:p>
      <w:pPr>
        <w:pStyle w:val="BodyText"/>
        <w:bidi w:val="0"/>
        <w:jc w:val="left"/>
        <w:rPr/>
      </w:pPr>
      <w:r>
        <w:rPr/>
        <w:t>When an interaction crosses an organization boundary:</w:t>
      </w:r>
    </w:p>
    <w:p>
      <w:pPr>
        <w:pStyle w:val="BodyText"/>
        <w:numPr>
          <w:ilvl w:val="0"/>
          <w:numId w:val="17"/>
        </w:numPr>
        <w:tabs>
          <w:tab w:val="clear" w:pos="1134"/>
          <w:tab w:val="left" w:pos="709" w:leader="none"/>
        </w:tabs>
        <w:bidi w:val="0"/>
        <w:spacing w:before="0" w:after="0"/>
        <w:ind w:hanging="283" w:left="709"/>
        <w:jc w:val="left"/>
        <w:rPr/>
      </w:pPr>
      <w:r>
        <w:rPr/>
        <w:t xml:space="preserve">every disclosed agent identifier </w:t>
      </w:r>
      <w:r>
        <w:rPr>
          <w:rStyle w:val="SourceText"/>
        </w:rPr>
        <w:t>MUST</w:t>
      </w:r>
      <w:r>
        <w:rPr/>
        <w:t xml:space="preserve"> be a </w:t>
      </w:r>
      <w:r>
        <w:rPr>
          <w:rStyle w:val="SourceText"/>
        </w:rPr>
        <w:t>GAID-Public</w:t>
      </w:r>
      <w:r>
        <w:rPr/>
        <w:t xml:space="preserve"> identifier, unless a stricter bilateral profile explicitly defines another boundary-conformant public assurance class </w:t>
      </w:r>
    </w:p>
    <w:p>
      <w:pPr>
        <w:pStyle w:val="BodyText"/>
        <w:numPr>
          <w:ilvl w:val="0"/>
          <w:numId w:val="17"/>
        </w:numPr>
        <w:tabs>
          <w:tab w:val="clear" w:pos="1134"/>
          <w:tab w:val="left" w:pos="709" w:leader="none"/>
        </w:tabs>
        <w:bidi w:val="0"/>
        <w:spacing w:before="0" w:after="0"/>
        <w:ind w:hanging="283" w:left="709"/>
        <w:jc w:val="left"/>
        <w:rPr/>
      </w:pPr>
      <w:r>
        <w:rPr/>
        <w:t xml:space="preserve">a private </w:t>
      </w:r>
      <w:r>
        <w:rPr>
          <w:rStyle w:val="SourceText"/>
        </w:rPr>
        <w:t>GAID</w:t>
      </w:r>
      <w:r>
        <w:rPr/>
        <w:t xml:space="preserve">, private issuer prefix, internal principal identifier, internal installation identifier, or undisclosed agent-topology reference </w:t>
      </w:r>
      <w:r>
        <w:rPr>
          <w:rStyle w:val="SourceText"/>
        </w:rPr>
        <w:t>MUST NOT</w:t>
      </w:r>
      <w:r>
        <w:rPr/>
        <w:t xml:space="preserve"> appear in the external payload, card, artifact, error, receipt view, or peer-visible telemetry </w:t>
      </w:r>
    </w:p>
    <w:p>
      <w:pPr>
        <w:pStyle w:val="BodyText"/>
        <w:numPr>
          <w:ilvl w:val="0"/>
          <w:numId w:val="17"/>
        </w:numPr>
        <w:tabs>
          <w:tab w:val="clear" w:pos="1134"/>
          <w:tab w:val="left" w:pos="709" w:leader="none"/>
        </w:tabs>
        <w:bidi w:val="0"/>
        <w:spacing w:before="0" w:after="0"/>
        <w:ind w:hanging="283" w:left="709"/>
        <w:jc w:val="left"/>
        <w:rPr/>
      </w:pPr>
      <w:r>
        <w:rPr/>
        <w:t xml:space="preserve">an approved boundary endpoint, installation, or signing-device identifier already required to authenticate the inter-organizational relationship </w:t>
      </w:r>
      <w:r>
        <w:rPr>
          <w:rStyle w:val="SourceText"/>
        </w:rPr>
        <w:t>MAY</w:t>
      </w:r>
      <w:r>
        <w:rPr/>
        <w:t xml:space="preserve"> remain visible as transport evidence; this exception does not expose internal routing or participant topology </w:t>
      </w:r>
    </w:p>
    <w:p>
      <w:pPr>
        <w:pStyle w:val="BodyText"/>
        <w:numPr>
          <w:ilvl w:val="0"/>
          <w:numId w:val="17"/>
        </w:numPr>
        <w:tabs>
          <w:tab w:val="clear" w:pos="1134"/>
          <w:tab w:val="left" w:pos="709" w:leader="none"/>
        </w:tabs>
        <w:bidi w:val="0"/>
        <w:spacing w:before="0" w:after="0"/>
        <w:ind w:hanging="283" w:left="709"/>
        <w:jc w:val="left"/>
        <w:rPr/>
      </w:pPr>
      <w:r>
        <w:rPr/>
        <w:t xml:space="preserve">the issuer </w:t>
      </w:r>
      <w:r>
        <w:rPr>
          <w:rStyle w:val="SourceText"/>
        </w:rPr>
        <w:t>MUST</w:t>
      </w:r>
      <w:r>
        <w:rPr/>
        <w:t xml:space="preserve"> resolve each disclosed public identifier through the governed boundary mapping for the same canonical agent subject </w:t>
      </w:r>
    </w:p>
    <w:p>
      <w:pPr>
        <w:pStyle w:val="BodyText"/>
        <w:numPr>
          <w:ilvl w:val="0"/>
          <w:numId w:val="17"/>
        </w:numPr>
        <w:tabs>
          <w:tab w:val="clear" w:pos="1134"/>
          <w:tab w:val="left" w:pos="709" w:leader="none"/>
        </w:tabs>
        <w:bidi w:val="0"/>
        <w:spacing w:before="0" w:after="0"/>
        <w:ind w:hanging="283" w:left="709"/>
        <w:jc w:val="left"/>
        <w:rPr/>
      </w:pPr>
      <w:r>
        <w:rPr/>
        <w:t xml:space="preserve">lack of a required public mapping </w:t>
      </w:r>
      <w:r>
        <w:rPr>
          <w:rStyle w:val="SourceText"/>
        </w:rPr>
        <w:t>MUST</w:t>
      </w:r>
      <w:r>
        <w:rPr/>
        <w:t xml:space="preserve"> fail closed; an implementation </w:t>
      </w:r>
      <w:r>
        <w:rPr>
          <w:rStyle w:val="SourceText"/>
        </w:rPr>
        <w:t>MUST NOT</w:t>
      </w:r>
      <w:r>
        <w:rPr/>
        <w:t xml:space="preserve"> fall back to exposing the private identifier </w:t>
      </w:r>
    </w:p>
    <w:p>
      <w:pPr>
        <w:pStyle w:val="BodyText"/>
        <w:numPr>
          <w:ilvl w:val="0"/>
          <w:numId w:val="17"/>
        </w:numPr>
        <w:tabs>
          <w:tab w:val="clear" w:pos="1134"/>
          <w:tab w:val="left" w:pos="709" w:leader="none"/>
        </w:tabs>
        <w:bidi w:val="0"/>
        <w:ind w:hanging="283" w:left="709"/>
        <w:jc w:val="left"/>
        <w:rPr/>
      </w:pPr>
      <w:r>
        <w:rPr/>
        <w:t xml:space="preserve">the relying-party view </w:t>
      </w:r>
      <w:r>
        <w:rPr>
          <w:rStyle w:val="SourceText"/>
        </w:rPr>
        <w:t>MUST</w:t>
      </w:r>
      <w:r>
        <w:rPr/>
        <w:t xml:space="preserve"> indicate when material participation details were withheld and </w:t>
      </w:r>
      <w:r>
        <w:rPr>
          <w:rStyle w:val="SourceText"/>
        </w:rPr>
        <w:t>MUST NOT</w:t>
      </w:r>
      <w:r>
        <w:rPr/>
        <w:t xml:space="preserve"> falsely represent the externally accountable agent as the only agent that performed the work </w:t>
      </w:r>
    </w:p>
    <w:p>
      <w:pPr>
        <w:pStyle w:val="BodyText"/>
        <w:bidi w:val="0"/>
        <w:jc w:val="left"/>
        <w:rPr/>
      </w:pPr>
      <w:r>
        <w:rPr/>
        <w:t xml:space="preserve">Same-organization federation </w:t>
      </w:r>
      <w:r>
        <w:rPr>
          <w:rStyle w:val="SourceText"/>
        </w:rPr>
        <w:t>MAY</w:t>
      </w:r>
      <w:r>
        <w:rPr/>
        <w:t xml:space="preserve"> disclose private or federated identifiers only where the relationship policy explicitly allows them. Administrative affinity alone is not disclosure authority.</w:t>
      </w:r>
    </w:p>
    <w:p>
      <w:pPr>
        <w:pStyle w:val="Heading3"/>
        <w:bidi w:val="0"/>
        <w:jc w:val="left"/>
        <w:rPr/>
      </w:pPr>
      <w:r>
        <w:rPr/>
        <w:t>6.6 Delegation, Accreditation, and Root Governance</w:t>
      </w:r>
    </w:p>
    <w:p>
      <w:pPr>
        <w:pStyle w:val="BodyText"/>
        <w:bidi w:val="0"/>
        <w:jc w:val="left"/>
        <w:rPr/>
      </w:pPr>
      <w:r>
        <w:rPr/>
        <w:t xml:space="preserve">Public </w:t>
      </w:r>
      <w:r>
        <w:rPr>
          <w:rStyle w:val="SourceText"/>
        </w:rPr>
        <w:t>GAID</w:t>
      </w:r>
      <w:r>
        <w:rPr/>
        <w:t xml:space="preserve"> operation depends on recognized issuer governance.</w:t>
      </w:r>
    </w:p>
    <w:p>
      <w:pPr>
        <w:pStyle w:val="BodyText"/>
        <w:bidi w:val="0"/>
        <w:jc w:val="left"/>
        <w:rPr/>
      </w:pPr>
      <w:r>
        <w:rPr/>
        <w:t>Therefore:</w:t>
      </w:r>
    </w:p>
    <w:p>
      <w:pPr>
        <w:pStyle w:val="BodyText"/>
        <w:numPr>
          <w:ilvl w:val="0"/>
          <w:numId w:val="18"/>
        </w:numPr>
        <w:tabs>
          <w:tab w:val="clear" w:pos="1134"/>
          <w:tab w:val="left" w:pos="709" w:leader="none"/>
        </w:tabs>
        <w:bidi w:val="0"/>
        <w:spacing w:before="0" w:after="0"/>
        <w:ind w:hanging="283" w:left="709"/>
        <w:jc w:val="left"/>
        <w:rPr/>
      </w:pPr>
      <w:r>
        <w:rPr/>
        <w:t xml:space="preserve">a </w:t>
      </w:r>
      <w:r>
        <w:rPr>
          <w:rStyle w:val="SourceText"/>
        </w:rPr>
        <w:t>GAID-Public</w:t>
      </w:r>
      <w:r>
        <w:rPr/>
        <w:t xml:space="preserve"> ecosystem </w:t>
      </w:r>
      <w:r>
        <w:rPr>
          <w:rStyle w:val="SourceText"/>
        </w:rPr>
        <w:t>MUST</w:t>
      </w:r>
      <w:r>
        <w:rPr/>
        <w:t xml:space="preserve"> define one or more root registries or a recognized federation of roots </w:t>
      </w:r>
    </w:p>
    <w:p>
      <w:pPr>
        <w:pStyle w:val="BodyText"/>
        <w:numPr>
          <w:ilvl w:val="0"/>
          <w:numId w:val="18"/>
        </w:numPr>
        <w:tabs>
          <w:tab w:val="clear" w:pos="1134"/>
          <w:tab w:val="left" w:pos="709" w:leader="none"/>
        </w:tabs>
        <w:bidi w:val="0"/>
        <w:spacing w:before="0" w:after="0"/>
        <w:ind w:hanging="283" w:left="709"/>
        <w:jc w:val="left"/>
        <w:rPr/>
      </w:pPr>
      <w:r>
        <w:rPr/>
        <w:t xml:space="preserve">public issuers </w:t>
      </w:r>
      <w:r>
        <w:rPr>
          <w:rStyle w:val="SourceText"/>
        </w:rPr>
        <w:t>MUST</w:t>
      </w:r>
      <w:r>
        <w:rPr/>
        <w:t xml:space="preserve"> be accredited directly or indirectly under that governance model </w:t>
      </w:r>
    </w:p>
    <w:p>
      <w:pPr>
        <w:pStyle w:val="BodyText"/>
        <w:numPr>
          <w:ilvl w:val="0"/>
          <w:numId w:val="18"/>
        </w:numPr>
        <w:tabs>
          <w:tab w:val="clear" w:pos="1134"/>
          <w:tab w:val="left" w:pos="709" w:leader="none"/>
        </w:tabs>
        <w:bidi w:val="0"/>
        <w:spacing w:before="0" w:after="0"/>
        <w:ind w:hanging="283" w:left="709"/>
        <w:jc w:val="left"/>
        <w:rPr/>
      </w:pPr>
      <w:r>
        <w:rPr/>
        <w:t xml:space="preserve">accredited issuers </w:t>
      </w:r>
      <w:r>
        <w:rPr>
          <w:rStyle w:val="SourceText"/>
        </w:rPr>
        <w:t>MUST</w:t>
      </w:r>
      <w:r>
        <w:rPr/>
        <w:t xml:space="preserve"> publish allocation, status, and revocation policies </w:t>
      </w:r>
    </w:p>
    <w:p>
      <w:pPr>
        <w:pStyle w:val="BodyText"/>
        <w:numPr>
          <w:ilvl w:val="0"/>
          <w:numId w:val="18"/>
        </w:numPr>
        <w:tabs>
          <w:tab w:val="clear" w:pos="1134"/>
          <w:tab w:val="left" w:pos="709" w:leader="none"/>
        </w:tabs>
        <w:bidi w:val="0"/>
        <w:spacing w:before="0" w:after="0"/>
        <w:ind w:hanging="283" w:left="709"/>
        <w:jc w:val="left"/>
        <w:rPr/>
      </w:pPr>
      <w:r>
        <w:rPr/>
        <w:t xml:space="preserve">accredited issuers </w:t>
      </w:r>
      <w:r>
        <w:rPr>
          <w:rStyle w:val="SourceText"/>
        </w:rPr>
        <w:t>MUST</w:t>
      </w:r>
      <w:r>
        <w:rPr/>
        <w:t xml:space="preserve"> be auditable </w:t>
      </w:r>
    </w:p>
    <w:p>
      <w:pPr>
        <w:pStyle w:val="BodyText"/>
        <w:numPr>
          <w:ilvl w:val="0"/>
          <w:numId w:val="18"/>
        </w:numPr>
        <w:tabs>
          <w:tab w:val="clear" w:pos="1134"/>
          <w:tab w:val="left" w:pos="709" w:leader="none"/>
        </w:tabs>
        <w:bidi w:val="0"/>
        <w:ind w:hanging="283" w:left="709"/>
        <w:jc w:val="left"/>
        <w:rPr/>
      </w:pPr>
      <w:r>
        <w:rPr/>
        <w:t xml:space="preserve">accredited issuers </w:t>
      </w:r>
      <w:r>
        <w:rPr>
          <w:rStyle w:val="SourceText"/>
        </w:rPr>
        <w:t>MUST</w:t>
      </w:r>
      <w:r>
        <w:rPr/>
        <w:t xml:space="preserve"> be able to prove control of the prefixes they allocate </w:t>
      </w:r>
    </w:p>
    <w:p>
      <w:pPr>
        <w:pStyle w:val="BodyText"/>
        <w:bidi w:val="0"/>
        <w:jc w:val="left"/>
        <w:rPr/>
      </w:pPr>
      <w:r>
        <w:rPr/>
        <w:t>The point is not to centralize all issuance in one institution. The point is to ensure that public trust is anchored in recognized governance rather than private assertion alone.</w:t>
      </w:r>
    </w:p>
    <w:p>
      <w:pPr>
        <w:pStyle w:val="Heading3"/>
        <w:bidi w:val="0"/>
        <w:jc w:val="left"/>
        <w:rPr/>
      </w:pPr>
      <w:r>
        <w:rPr/>
        <w:t>6.7 Revocation, Suspension, and Reassignment</w:t>
      </w:r>
    </w:p>
    <w:p>
      <w:pPr>
        <w:pStyle w:val="BodyText"/>
        <w:bidi w:val="0"/>
        <w:jc w:val="left"/>
        <w:rPr/>
      </w:pPr>
      <w:r>
        <w:rPr/>
        <w:t xml:space="preserve">An issuer </w:t>
      </w:r>
      <w:r>
        <w:rPr>
          <w:rStyle w:val="SourceText"/>
        </w:rPr>
        <w:t>MUST</w:t>
      </w:r>
      <w:r>
        <w:rPr/>
        <w:t xml:space="preserve"> support status values that distinguish at least:</w:t>
      </w:r>
    </w:p>
    <w:p>
      <w:pPr>
        <w:pStyle w:val="BodyText"/>
        <w:numPr>
          <w:ilvl w:val="0"/>
          <w:numId w:val="19"/>
        </w:numPr>
        <w:tabs>
          <w:tab w:val="clear" w:pos="1134"/>
          <w:tab w:val="left" w:pos="709" w:leader="none"/>
        </w:tabs>
        <w:bidi w:val="0"/>
        <w:spacing w:before="0" w:after="0"/>
        <w:ind w:hanging="283" w:left="709"/>
        <w:jc w:val="left"/>
        <w:rPr/>
      </w:pPr>
      <w:r>
        <w:rPr/>
        <w:t xml:space="preserve">active </w:t>
      </w:r>
    </w:p>
    <w:p>
      <w:pPr>
        <w:pStyle w:val="BodyText"/>
        <w:numPr>
          <w:ilvl w:val="0"/>
          <w:numId w:val="19"/>
        </w:numPr>
        <w:tabs>
          <w:tab w:val="clear" w:pos="1134"/>
          <w:tab w:val="left" w:pos="709" w:leader="none"/>
        </w:tabs>
        <w:bidi w:val="0"/>
        <w:spacing w:before="0" w:after="0"/>
        <w:ind w:hanging="283" w:left="709"/>
        <w:jc w:val="left"/>
        <w:rPr/>
      </w:pPr>
      <w:r>
        <w:rPr/>
        <w:t xml:space="preserve">suspended </w:t>
      </w:r>
    </w:p>
    <w:p>
      <w:pPr>
        <w:pStyle w:val="BodyText"/>
        <w:numPr>
          <w:ilvl w:val="0"/>
          <w:numId w:val="19"/>
        </w:numPr>
        <w:tabs>
          <w:tab w:val="clear" w:pos="1134"/>
          <w:tab w:val="left" w:pos="709" w:leader="none"/>
        </w:tabs>
        <w:bidi w:val="0"/>
        <w:spacing w:before="0" w:after="0"/>
        <w:ind w:hanging="283" w:left="709"/>
        <w:jc w:val="left"/>
        <w:rPr/>
      </w:pPr>
      <w:r>
        <w:rPr/>
        <w:t xml:space="preserve">revoked </w:t>
      </w:r>
    </w:p>
    <w:p>
      <w:pPr>
        <w:pStyle w:val="BodyText"/>
        <w:numPr>
          <w:ilvl w:val="0"/>
          <w:numId w:val="19"/>
        </w:numPr>
        <w:tabs>
          <w:tab w:val="clear" w:pos="1134"/>
          <w:tab w:val="left" w:pos="709" w:leader="none"/>
        </w:tabs>
        <w:bidi w:val="0"/>
        <w:spacing w:before="0" w:after="0"/>
        <w:ind w:hanging="283" w:left="709"/>
        <w:jc w:val="left"/>
        <w:rPr/>
      </w:pPr>
      <w:r>
        <w:rPr/>
        <w:t xml:space="preserve">retired </w:t>
      </w:r>
    </w:p>
    <w:p>
      <w:pPr>
        <w:pStyle w:val="BodyText"/>
        <w:numPr>
          <w:ilvl w:val="0"/>
          <w:numId w:val="19"/>
        </w:numPr>
        <w:tabs>
          <w:tab w:val="clear" w:pos="1134"/>
          <w:tab w:val="left" w:pos="709" w:leader="none"/>
        </w:tabs>
        <w:bidi w:val="0"/>
        <w:ind w:hanging="283" w:left="709"/>
        <w:jc w:val="left"/>
        <w:rPr/>
      </w:pPr>
      <w:r>
        <w:rPr/>
        <w:t xml:space="preserve">superseded </w:t>
      </w:r>
    </w:p>
    <w:p>
      <w:pPr>
        <w:pStyle w:val="BodyText"/>
        <w:bidi w:val="0"/>
        <w:jc w:val="left"/>
        <w:rPr/>
      </w:pPr>
      <w:r>
        <w:rPr/>
        <w:t xml:space="preserve">A public </w:t>
      </w:r>
      <w:r>
        <w:rPr>
          <w:rStyle w:val="SourceText"/>
        </w:rPr>
        <w:t>GAID</w:t>
      </w:r>
      <w:r>
        <w:rPr/>
        <w:t>:</w:t>
      </w:r>
    </w:p>
    <w:p>
      <w:pPr>
        <w:pStyle w:val="BodyText"/>
        <w:numPr>
          <w:ilvl w:val="0"/>
          <w:numId w:val="20"/>
        </w:numPr>
        <w:tabs>
          <w:tab w:val="clear" w:pos="1134"/>
          <w:tab w:val="left" w:pos="709" w:leader="none"/>
        </w:tabs>
        <w:bidi w:val="0"/>
        <w:spacing w:before="0" w:after="0"/>
        <w:ind w:hanging="283" w:left="709"/>
        <w:jc w:val="left"/>
        <w:rPr/>
      </w:pPr>
      <w:r>
        <w:rPr>
          <w:rStyle w:val="SourceText"/>
        </w:rPr>
        <w:t>MUST NOT</w:t>
      </w:r>
      <w:r>
        <w:rPr/>
        <w:t xml:space="preserve"> be silently reassigned to a materially different agent subject </w:t>
      </w:r>
    </w:p>
    <w:p>
      <w:pPr>
        <w:pStyle w:val="BodyText"/>
        <w:numPr>
          <w:ilvl w:val="0"/>
          <w:numId w:val="20"/>
        </w:numPr>
        <w:tabs>
          <w:tab w:val="clear" w:pos="1134"/>
          <w:tab w:val="left" w:pos="709" w:leader="none"/>
        </w:tabs>
        <w:bidi w:val="0"/>
        <w:spacing w:before="0" w:after="0"/>
        <w:ind w:hanging="283" w:left="709"/>
        <w:jc w:val="left"/>
        <w:rPr/>
      </w:pPr>
      <w:r>
        <w:rPr>
          <w:rStyle w:val="SourceText"/>
        </w:rPr>
        <w:t>SHOULD</w:t>
      </w:r>
      <w:r>
        <w:rPr/>
        <w:t xml:space="preserve"> remain tombstoned after revocation or retirement </w:t>
      </w:r>
    </w:p>
    <w:p>
      <w:pPr>
        <w:pStyle w:val="BodyText"/>
        <w:numPr>
          <w:ilvl w:val="0"/>
          <w:numId w:val="20"/>
        </w:numPr>
        <w:tabs>
          <w:tab w:val="clear" w:pos="1134"/>
          <w:tab w:val="left" w:pos="709" w:leader="none"/>
        </w:tabs>
        <w:bidi w:val="0"/>
        <w:ind w:hanging="283" w:left="709"/>
        <w:jc w:val="left"/>
        <w:rPr/>
      </w:pPr>
      <w:r>
        <w:rPr>
          <w:rStyle w:val="SourceText"/>
        </w:rPr>
        <w:t>MUST</w:t>
      </w:r>
      <w:r>
        <w:rPr/>
        <w:t xml:space="preserve"> preserve historical receipts and evidence even when the current status is no longer active </w:t>
      </w:r>
    </w:p>
    <w:p>
      <w:pPr>
        <w:pStyle w:val="BodyText"/>
        <w:bidi w:val="0"/>
        <w:jc w:val="left"/>
        <w:rPr/>
      </w:pPr>
      <w:r>
        <w:rPr/>
        <w:t xml:space="preserve">Private </w:t>
      </w:r>
      <w:r>
        <w:rPr>
          <w:rStyle w:val="SourceText"/>
        </w:rPr>
        <w:t>GAID</w:t>
      </w:r>
      <w:r>
        <w:rPr/>
        <w:t xml:space="preserve"> reassignment </w:t>
      </w:r>
      <w:r>
        <w:rPr>
          <w:rStyle w:val="SourceText"/>
        </w:rPr>
        <w:t>SHOULD NOT</w:t>
      </w:r>
      <w:r>
        <w:rPr/>
        <w:t xml:space="preserve"> occur. If it does occur under local policy, the reassignment </w:t>
      </w:r>
      <w:r>
        <w:rPr>
          <w:rStyle w:val="SourceText"/>
        </w:rPr>
        <w:t>MUST</w:t>
      </w:r>
      <w:r>
        <w:rPr/>
        <w:t xml:space="preserve"> be explicitly recorded, and prior evidence </w:t>
      </w:r>
      <w:r>
        <w:rPr>
          <w:rStyle w:val="SourceText"/>
        </w:rPr>
        <w:t>MUST</w:t>
      </w:r>
      <w:r>
        <w:rPr/>
        <w:t xml:space="preserve"> remain distinguishable from the new subject.</w:t>
      </w:r>
    </w:p>
    <w:p>
      <w:pPr>
        <w:pStyle w:val="Heading3"/>
        <w:bidi w:val="0"/>
        <w:jc w:val="left"/>
        <w:rPr/>
      </w:pPr>
      <w:r>
        <w:rPr/>
        <w:t>6.8 Subject Identity, Exposure State, and Continuity</w:t>
      </w:r>
    </w:p>
    <w:p>
      <w:pPr>
        <w:pStyle w:val="BodyText"/>
        <w:bidi w:val="0"/>
        <w:jc w:val="left"/>
        <w:rPr/>
      </w:pPr>
      <w:r>
        <w:rPr>
          <w:rStyle w:val="SourceText"/>
        </w:rPr>
        <w:t>GAID</w:t>
      </w:r>
      <w:r>
        <w:rPr/>
        <w:t xml:space="preserve"> identifies the enduring AI subject, not merely one ephemeral runtime instance.</w:t>
      </w:r>
    </w:p>
    <w:p>
      <w:pPr>
        <w:pStyle w:val="BodyText"/>
        <w:bidi w:val="0"/>
        <w:jc w:val="left"/>
        <w:rPr/>
      </w:pPr>
      <w:r>
        <w:rPr/>
        <w:t>Accordingly:</w:t>
      </w:r>
    </w:p>
    <w:p>
      <w:pPr>
        <w:pStyle w:val="BodyText"/>
        <w:numPr>
          <w:ilvl w:val="0"/>
          <w:numId w:val="21"/>
        </w:numPr>
        <w:tabs>
          <w:tab w:val="clear" w:pos="1134"/>
          <w:tab w:val="left" w:pos="709" w:leader="none"/>
        </w:tabs>
        <w:bidi w:val="0"/>
        <w:spacing w:before="0" w:after="0"/>
        <w:ind w:hanging="283" w:left="709"/>
        <w:jc w:val="left"/>
        <w:rPr/>
      </w:pPr>
      <w:r>
        <w:rPr/>
        <w:t xml:space="preserve">routine changes to model binding, prompt bundles, tools, badges, or autonomy posture </w:t>
      </w:r>
      <w:r>
        <w:rPr>
          <w:rStyle w:val="SourceText"/>
        </w:rPr>
        <w:t>MUST NOT</w:t>
      </w:r>
      <w:r>
        <w:rPr/>
        <w:t xml:space="preserve"> mint a new </w:t>
      </w:r>
      <w:r>
        <w:rPr>
          <w:rStyle w:val="SourceText"/>
        </w:rPr>
        <w:t>GAID</w:t>
      </w:r>
      <w:r>
        <w:rPr/>
        <w:t xml:space="preserve"> by default </w:t>
      </w:r>
    </w:p>
    <w:p>
      <w:pPr>
        <w:pStyle w:val="BodyText"/>
        <w:numPr>
          <w:ilvl w:val="0"/>
          <w:numId w:val="21"/>
        </w:numPr>
        <w:tabs>
          <w:tab w:val="clear" w:pos="1134"/>
          <w:tab w:val="left" w:pos="709" w:leader="none"/>
        </w:tabs>
        <w:bidi w:val="0"/>
        <w:spacing w:before="0" w:after="0"/>
        <w:ind w:hanging="283" w:left="709"/>
        <w:jc w:val="left"/>
        <w:rPr/>
      </w:pPr>
      <w:r>
        <w:rPr/>
        <w:t xml:space="preserve">the same </w:t>
      </w:r>
      <w:r>
        <w:rPr>
          <w:rStyle w:val="SourceText"/>
        </w:rPr>
        <w:t>GAID</w:t>
      </w:r>
      <w:r>
        <w:rPr/>
        <w:t xml:space="preserve"> </w:t>
      </w:r>
      <w:r>
        <w:rPr>
          <w:rStyle w:val="SourceText"/>
        </w:rPr>
        <w:t>SHOULD</w:t>
      </w:r>
      <w:r>
        <w:rPr/>
        <w:t xml:space="preserve"> remain valid when an internal-only agent later becomes federated or publicly exposed </w:t>
      </w:r>
    </w:p>
    <w:p>
      <w:pPr>
        <w:pStyle w:val="BodyText"/>
        <w:numPr>
          <w:ilvl w:val="0"/>
          <w:numId w:val="21"/>
        </w:numPr>
        <w:tabs>
          <w:tab w:val="clear" w:pos="1134"/>
          <w:tab w:val="left" w:pos="709" w:leader="none"/>
        </w:tabs>
        <w:bidi w:val="0"/>
        <w:ind w:hanging="283" w:left="709"/>
        <w:jc w:val="left"/>
        <w:rPr/>
      </w:pPr>
      <w:r>
        <w:rPr/>
        <w:t xml:space="preserve">identity continuity and exposure-state continuity </w:t>
      </w:r>
      <w:r>
        <w:rPr>
          <w:rStyle w:val="SourceText"/>
        </w:rPr>
        <w:t>MUST</w:t>
      </w:r>
      <w:r>
        <w:rPr/>
        <w:t xml:space="preserve"> be treated as separate concerns </w:t>
      </w:r>
    </w:p>
    <w:p>
      <w:pPr>
        <w:pStyle w:val="BodyText"/>
        <w:bidi w:val="0"/>
        <w:jc w:val="left"/>
        <w:rPr/>
      </w:pPr>
      <w:r>
        <w:rPr/>
        <w:t xml:space="preserve">An implementation </w:t>
      </w:r>
      <w:r>
        <w:rPr>
          <w:rStyle w:val="SourceText"/>
        </w:rPr>
        <w:t>SHOULD</w:t>
      </w:r>
      <w:r>
        <w:rPr/>
        <w:t xml:space="preserve"> distinguish at least the following exposure states:</w:t>
      </w:r>
    </w:p>
    <w:p>
      <w:pPr>
        <w:pStyle w:val="BodyText"/>
        <w:numPr>
          <w:ilvl w:val="0"/>
          <w:numId w:val="22"/>
        </w:numPr>
        <w:tabs>
          <w:tab w:val="clear" w:pos="1134"/>
          <w:tab w:val="left" w:pos="709" w:leader="none"/>
        </w:tabs>
        <w:bidi w:val="0"/>
        <w:spacing w:before="0" w:after="0"/>
        <w:ind w:hanging="283" w:left="709"/>
        <w:jc w:val="left"/>
        <w:rPr/>
      </w:pPr>
      <w:r>
        <w:rPr>
          <w:rStyle w:val="SourceText"/>
        </w:rPr>
        <w:t>private</w:t>
      </w:r>
      <w:r>
        <w:rPr/>
        <w:t xml:space="preserve"> </w:t>
      </w:r>
    </w:p>
    <w:p>
      <w:pPr>
        <w:pStyle w:val="BodyText"/>
        <w:numPr>
          <w:ilvl w:val="0"/>
          <w:numId w:val="22"/>
        </w:numPr>
        <w:tabs>
          <w:tab w:val="clear" w:pos="1134"/>
          <w:tab w:val="left" w:pos="709" w:leader="none"/>
        </w:tabs>
        <w:bidi w:val="0"/>
        <w:spacing w:before="0" w:after="0"/>
        <w:ind w:hanging="283" w:left="709"/>
        <w:jc w:val="left"/>
        <w:rPr/>
      </w:pPr>
      <w:r>
        <w:rPr>
          <w:rStyle w:val="SourceText"/>
        </w:rPr>
        <w:t>federated</w:t>
      </w:r>
      <w:r>
        <w:rPr/>
        <w:t xml:space="preserve"> </w:t>
      </w:r>
    </w:p>
    <w:p>
      <w:pPr>
        <w:pStyle w:val="BodyText"/>
        <w:numPr>
          <w:ilvl w:val="0"/>
          <w:numId w:val="22"/>
        </w:numPr>
        <w:tabs>
          <w:tab w:val="clear" w:pos="1134"/>
          <w:tab w:val="left" w:pos="709" w:leader="none"/>
        </w:tabs>
        <w:bidi w:val="0"/>
        <w:ind w:hanging="283" w:left="709"/>
        <w:jc w:val="left"/>
        <w:rPr/>
      </w:pPr>
      <w:r>
        <w:rPr>
          <w:rStyle w:val="SourceText"/>
        </w:rPr>
        <w:t>public</w:t>
      </w:r>
      <w:r>
        <w:rPr/>
        <w:t xml:space="preserve"> </w:t>
      </w:r>
    </w:p>
    <w:p>
      <w:pPr>
        <w:pStyle w:val="BodyText"/>
        <w:bidi w:val="0"/>
        <w:jc w:val="left"/>
        <w:rPr/>
      </w:pPr>
      <w:r>
        <w:rPr/>
        <w:t>Changing exposure state:</w:t>
      </w:r>
    </w:p>
    <w:p>
      <w:pPr>
        <w:pStyle w:val="BodyText"/>
        <w:numPr>
          <w:ilvl w:val="0"/>
          <w:numId w:val="23"/>
        </w:numPr>
        <w:tabs>
          <w:tab w:val="clear" w:pos="1134"/>
          <w:tab w:val="left" w:pos="709" w:leader="none"/>
        </w:tabs>
        <w:bidi w:val="0"/>
        <w:spacing w:before="0" w:after="0"/>
        <w:ind w:hanging="283" w:left="709"/>
        <w:jc w:val="left"/>
        <w:rPr/>
      </w:pPr>
      <w:r>
        <w:rPr>
          <w:rStyle w:val="SourceText"/>
        </w:rPr>
        <w:t>MAY</w:t>
      </w:r>
      <w:r>
        <w:rPr/>
        <w:t xml:space="preserve"> require stronger verification or publication controls </w:t>
      </w:r>
    </w:p>
    <w:p>
      <w:pPr>
        <w:pStyle w:val="BodyText"/>
        <w:numPr>
          <w:ilvl w:val="0"/>
          <w:numId w:val="23"/>
        </w:numPr>
        <w:tabs>
          <w:tab w:val="clear" w:pos="1134"/>
          <w:tab w:val="left" w:pos="709" w:leader="none"/>
        </w:tabs>
        <w:bidi w:val="0"/>
        <w:spacing w:before="0" w:after="0"/>
        <w:ind w:hanging="283" w:left="709"/>
        <w:jc w:val="left"/>
        <w:rPr/>
      </w:pPr>
      <w:r>
        <w:rPr>
          <w:rStyle w:val="SourceText"/>
        </w:rPr>
        <w:t>MUST NOT</w:t>
      </w:r>
      <w:r>
        <w:rPr/>
        <w:t xml:space="preserve"> silently break subject continuity </w:t>
      </w:r>
    </w:p>
    <w:p>
      <w:pPr>
        <w:pStyle w:val="BodyText"/>
        <w:numPr>
          <w:ilvl w:val="0"/>
          <w:numId w:val="23"/>
        </w:numPr>
        <w:tabs>
          <w:tab w:val="clear" w:pos="1134"/>
          <w:tab w:val="left" w:pos="709" w:leader="none"/>
        </w:tabs>
        <w:bidi w:val="0"/>
        <w:ind w:hanging="283" w:left="709"/>
        <w:jc w:val="left"/>
        <w:rPr/>
      </w:pPr>
      <w:r>
        <w:rPr>
          <w:rStyle w:val="SourceText"/>
        </w:rPr>
        <w:t>SHOULD</w:t>
      </w:r>
      <w:r>
        <w:rPr/>
        <w:t xml:space="preserve"> preserve auditable mapping from earlier internal usage to later external usage </w:t>
      </w:r>
    </w:p>
    <w:p>
      <w:pPr>
        <w:pStyle w:val="Heading3"/>
        <w:bidi w:val="0"/>
        <w:jc w:val="left"/>
        <w:rPr/>
      </w:pPr>
      <w:r>
        <w:rPr/>
        <w:t>6.9 Subject Identity Versus Operating State</w:t>
      </w:r>
    </w:p>
    <w:p>
      <w:pPr>
        <w:pStyle w:val="BodyText"/>
        <w:bidi w:val="0"/>
        <w:jc w:val="left"/>
        <w:rPr/>
      </w:pPr>
      <w:r>
        <w:rPr/>
        <w:t>This standard distinguishes:</w:t>
      </w:r>
    </w:p>
    <w:p>
      <w:pPr>
        <w:pStyle w:val="BodyText"/>
        <w:numPr>
          <w:ilvl w:val="0"/>
          <w:numId w:val="24"/>
        </w:numPr>
        <w:tabs>
          <w:tab w:val="clear" w:pos="1134"/>
          <w:tab w:val="left" w:pos="709" w:leader="none"/>
        </w:tabs>
        <w:bidi w:val="0"/>
        <w:spacing w:before="0" w:after="0"/>
        <w:ind w:hanging="283" w:left="709"/>
        <w:jc w:val="left"/>
        <w:rPr/>
      </w:pPr>
      <w:r>
        <w:rPr>
          <w:rStyle w:val="Strong"/>
        </w:rPr>
        <w:t>subject identity</w:t>
      </w:r>
      <w:r>
        <w:rPr/>
        <w:t xml:space="preserve"> — the enduring </w:t>
      </w:r>
      <w:r>
        <w:rPr>
          <w:rStyle w:val="SourceText"/>
        </w:rPr>
        <w:t>GAID</w:t>
      </w:r>
      <w:r>
        <w:rPr/>
        <w:t xml:space="preserve">-identified agent subject </w:t>
      </w:r>
    </w:p>
    <w:p>
      <w:pPr>
        <w:pStyle w:val="BodyText"/>
        <w:numPr>
          <w:ilvl w:val="0"/>
          <w:numId w:val="24"/>
        </w:numPr>
        <w:tabs>
          <w:tab w:val="clear" w:pos="1134"/>
          <w:tab w:val="left" w:pos="709" w:leader="none"/>
        </w:tabs>
        <w:bidi w:val="0"/>
        <w:ind w:hanging="283" w:left="709"/>
        <w:jc w:val="left"/>
        <w:rPr/>
      </w:pPr>
      <w:r>
        <w:rPr>
          <w:rStyle w:val="Strong"/>
        </w:rPr>
        <w:t>operating state</w:t>
      </w:r>
      <w:r>
        <w:rPr/>
        <w:t xml:space="preserve"> — the currently governed version of the agent's operational form </w:t>
      </w:r>
    </w:p>
    <w:p>
      <w:pPr>
        <w:pStyle w:val="BodyText"/>
        <w:bidi w:val="0"/>
        <w:jc w:val="left"/>
        <w:rPr/>
      </w:pPr>
      <w:r>
        <w:rPr/>
        <w:t xml:space="preserve">The operating state </w:t>
      </w:r>
      <w:r>
        <w:rPr>
          <w:rStyle w:val="SourceText"/>
        </w:rPr>
        <w:t>SHOULD</w:t>
      </w:r>
      <w:r>
        <w:rPr/>
        <w:t xml:space="preserve"> include materially relevant elements such as:</w:t>
      </w:r>
    </w:p>
    <w:p>
      <w:pPr>
        <w:pStyle w:val="BodyText"/>
        <w:numPr>
          <w:ilvl w:val="0"/>
          <w:numId w:val="25"/>
        </w:numPr>
        <w:tabs>
          <w:tab w:val="clear" w:pos="1134"/>
          <w:tab w:val="left" w:pos="709" w:leader="none"/>
        </w:tabs>
        <w:bidi w:val="0"/>
        <w:spacing w:before="0" w:after="0"/>
        <w:ind w:hanging="283" w:left="709"/>
        <w:jc w:val="left"/>
        <w:rPr/>
      </w:pPr>
      <w:r>
        <w:rPr/>
        <w:t xml:space="preserve">model and provider binding </w:t>
      </w:r>
    </w:p>
    <w:p>
      <w:pPr>
        <w:pStyle w:val="BodyText"/>
        <w:numPr>
          <w:ilvl w:val="0"/>
          <w:numId w:val="25"/>
        </w:numPr>
        <w:tabs>
          <w:tab w:val="clear" w:pos="1134"/>
          <w:tab w:val="left" w:pos="709" w:leader="none"/>
        </w:tabs>
        <w:bidi w:val="0"/>
        <w:spacing w:before="0" w:after="0"/>
        <w:ind w:hanging="283" w:left="709"/>
        <w:jc w:val="left"/>
        <w:rPr/>
      </w:pPr>
      <w:r>
        <w:rPr/>
        <w:t xml:space="preserve">prompt and instruction bundle references </w:t>
      </w:r>
    </w:p>
    <w:p>
      <w:pPr>
        <w:pStyle w:val="BodyText"/>
        <w:numPr>
          <w:ilvl w:val="0"/>
          <w:numId w:val="25"/>
        </w:numPr>
        <w:tabs>
          <w:tab w:val="clear" w:pos="1134"/>
          <w:tab w:val="left" w:pos="709" w:leader="none"/>
        </w:tabs>
        <w:bidi w:val="0"/>
        <w:spacing w:before="0" w:after="0"/>
        <w:ind w:hanging="283" w:left="709"/>
        <w:jc w:val="left"/>
        <w:rPr/>
      </w:pPr>
      <w:r>
        <w:rPr/>
        <w:t xml:space="preserve">tool surface </w:t>
      </w:r>
    </w:p>
    <w:p>
      <w:pPr>
        <w:pStyle w:val="BodyText"/>
        <w:numPr>
          <w:ilvl w:val="0"/>
          <w:numId w:val="25"/>
        </w:numPr>
        <w:tabs>
          <w:tab w:val="clear" w:pos="1134"/>
          <w:tab w:val="left" w:pos="709" w:leader="none"/>
        </w:tabs>
        <w:bidi w:val="0"/>
        <w:spacing w:before="0" w:after="0"/>
        <w:ind w:hanging="283" w:left="709"/>
        <w:jc w:val="left"/>
        <w:rPr/>
      </w:pPr>
      <w:r>
        <w:rPr/>
        <w:t xml:space="preserve">autonomy posture </w:t>
      </w:r>
    </w:p>
    <w:p>
      <w:pPr>
        <w:pStyle w:val="BodyText"/>
        <w:numPr>
          <w:ilvl w:val="0"/>
          <w:numId w:val="25"/>
        </w:numPr>
        <w:tabs>
          <w:tab w:val="clear" w:pos="1134"/>
          <w:tab w:val="left" w:pos="709" w:leader="none"/>
        </w:tabs>
        <w:bidi w:val="0"/>
        <w:spacing w:before="0" w:after="0"/>
        <w:ind w:hanging="283" w:left="709"/>
        <w:jc w:val="left"/>
        <w:rPr/>
      </w:pPr>
      <w:r>
        <w:rPr/>
        <w:t xml:space="preserve">verification references </w:t>
      </w:r>
    </w:p>
    <w:p>
      <w:pPr>
        <w:pStyle w:val="BodyText"/>
        <w:numPr>
          <w:ilvl w:val="0"/>
          <w:numId w:val="25"/>
        </w:numPr>
        <w:tabs>
          <w:tab w:val="clear" w:pos="1134"/>
          <w:tab w:val="left" w:pos="709" w:leader="none"/>
        </w:tabs>
        <w:bidi w:val="0"/>
        <w:ind w:hanging="283" w:left="709"/>
        <w:jc w:val="left"/>
        <w:rPr/>
      </w:pPr>
      <w:r>
        <w:rPr/>
        <w:t xml:space="preserve">current badges and authorization posture </w:t>
      </w:r>
    </w:p>
    <w:p>
      <w:pPr>
        <w:pStyle w:val="BodyText"/>
        <w:bidi w:val="0"/>
        <w:jc w:val="left"/>
        <w:rPr/>
      </w:pPr>
      <w:r>
        <w:rPr/>
        <w:t xml:space="preserve">A change to operating state </w:t>
      </w:r>
      <w:r>
        <w:rPr>
          <w:rStyle w:val="SourceText"/>
        </w:rPr>
        <w:t>SHOULD</w:t>
      </w:r>
      <w:r>
        <w:rPr/>
        <w:t xml:space="preserve"> create a new governed version or state record beneath the same </w:t>
      </w:r>
      <w:r>
        <w:rPr>
          <w:rStyle w:val="SourceText"/>
        </w:rPr>
        <w:t>GAID</w:t>
      </w:r>
      <w:r>
        <w:rPr/>
        <w:t xml:space="preserve">, rather than replacing the </w:t>
      </w:r>
      <w:r>
        <w:rPr>
          <w:rStyle w:val="SourceText"/>
        </w:rPr>
        <w:t>GAID</w:t>
      </w:r>
      <w:r>
        <w:rPr/>
        <w:t xml:space="preserve"> itself.</w:t>
      </w:r>
    </w:p>
    <w:p>
      <w:pPr>
        <w:pStyle w:val="Heading3"/>
        <w:bidi w:val="0"/>
        <w:jc w:val="left"/>
        <w:rPr/>
      </w:pPr>
      <w:r>
        <w:rPr/>
        <w:t>6.10 Public Verification Architecture Options</w:t>
      </w:r>
    </w:p>
    <w:p>
      <w:pPr>
        <w:pStyle w:val="BodyText"/>
        <w:bidi w:val="0"/>
        <w:jc w:val="left"/>
        <w:rPr/>
      </w:pPr>
      <w:r>
        <w:rPr/>
        <w:t>For cross-organizational or public trust, this standard recognizes several viable authority architectures:</w:t>
      </w:r>
    </w:p>
    <w:p>
      <w:pPr>
        <w:pStyle w:val="BodyText"/>
        <w:numPr>
          <w:ilvl w:val="0"/>
          <w:numId w:val="26"/>
        </w:numPr>
        <w:tabs>
          <w:tab w:val="clear" w:pos="1134"/>
          <w:tab w:val="left" w:pos="709" w:leader="none"/>
        </w:tabs>
        <w:bidi w:val="0"/>
        <w:spacing w:before="0" w:after="0"/>
        <w:ind w:hanging="283" w:left="709"/>
        <w:jc w:val="left"/>
        <w:rPr/>
      </w:pPr>
      <w:r>
        <w:rPr>
          <w:rStyle w:val="SourceText"/>
        </w:rPr>
        <w:t>directory-first private only</w:t>
      </w:r>
      <w:r>
        <w:rPr/>
        <w:t xml:space="preserve"> </w:t>
      </w:r>
    </w:p>
    <w:p>
      <w:pPr>
        <w:pStyle w:val="BodyText"/>
        <w:numPr>
          <w:ilvl w:val="0"/>
          <w:numId w:val="26"/>
        </w:numPr>
        <w:tabs>
          <w:tab w:val="clear" w:pos="1134"/>
          <w:tab w:val="left" w:pos="709" w:leader="none"/>
        </w:tabs>
        <w:bidi w:val="0"/>
        <w:spacing w:before="0" w:after="0"/>
        <w:ind w:hanging="283" w:left="709"/>
        <w:jc w:val="left"/>
        <w:rPr/>
      </w:pPr>
      <w:r>
        <w:rPr>
          <w:rStyle w:val="SourceText"/>
        </w:rPr>
        <w:t>public PKI and domain-anchored issuer model</w:t>
      </w:r>
      <w:r>
        <w:rPr/>
        <w:t xml:space="preserve"> </w:t>
      </w:r>
    </w:p>
    <w:p>
      <w:pPr>
        <w:pStyle w:val="BodyText"/>
        <w:numPr>
          <w:ilvl w:val="0"/>
          <w:numId w:val="26"/>
        </w:numPr>
        <w:tabs>
          <w:tab w:val="clear" w:pos="1134"/>
          <w:tab w:val="left" w:pos="709" w:leader="none"/>
        </w:tabs>
        <w:bidi w:val="0"/>
        <w:spacing w:before="0" w:after="0"/>
        <w:ind w:hanging="283" w:left="709"/>
        <w:jc w:val="left"/>
        <w:rPr/>
      </w:pPr>
      <w:r>
        <w:rPr>
          <w:rStyle w:val="SourceText"/>
        </w:rPr>
        <w:t>federated trust-list model</w:t>
      </w:r>
      <w:r>
        <w:rPr/>
        <w:t xml:space="preserve"> </w:t>
      </w:r>
    </w:p>
    <w:p>
      <w:pPr>
        <w:pStyle w:val="BodyText"/>
        <w:numPr>
          <w:ilvl w:val="0"/>
          <w:numId w:val="26"/>
        </w:numPr>
        <w:tabs>
          <w:tab w:val="clear" w:pos="1134"/>
          <w:tab w:val="left" w:pos="709" w:leader="none"/>
        </w:tabs>
        <w:bidi w:val="0"/>
        <w:spacing w:before="0" w:after="0"/>
        <w:ind w:hanging="283" w:left="709"/>
        <w:jc w:val="left"/>
        <w:rPr/>
      </w:pPr>
      <w:r>
        <w:rPr>
          <w:rStyle w:val="SourceText"/>
        </w:rPr>
        <w:t>decentralized identifier and verifiable credential model</w:t>
      </w:r>
      <w:r>
        <w:rPr/>
        <w:t xml:space="preserve"> </w:t>
      </w:r>
    </w:p>
    <w:p>
      <w:pPr>
        <w:pStyle w:val="BodyText"/>
        <w:numPr>
          <w:ilvl w:val="0"/>
          <w:numId w:val="26"/>
        </w:numPr>
        <w:tabs>
          <w:tab w:val="clear" w:pos="1134"/>
          <w:tab w:val="left" w:pos="709" w:leader="none"/>
        </w:tabs>
        <w:bidi w:val="0"/>
        <w:ind w:hanging="283" w:left="709"/>
        <w:jc w:val="left"/>
        <w:rPr/>
      </w:pPr>
      <w:r>
        <w:rPr>
          <w:rStyle w:val="SourceText"/>
        </w:rPr>
        <w:t>hybrid model</w:t>
      </w:r>
      <w:r>
        <w:rPr/>
        <w:t xml:space="preserve"> </w:t>
      </w:r>
    </w:p>
    <w:p>
      <w:pPr>
        <w:pStyle w:val="BodyText"/>
        <w:bidi w:val="0"/>
        <w:jc w:val="left"/>
        <w:rPr/>
      </w:pPr>
      <w:r>
        <w:rPr/>
        <w:t xml:space="preserve">The standard does not require one monopoly authority architecture. It does, however, require that a public </w:t>
      </w:r>
      <w:r>
        <w:rPr>
          <w:rStyle w:val="SourceText"/>
        </w:rPr>
        <w:t>GAID</w:t>
      </w:r>
      <w:r>
        <w:rPr/>
        <w:t xml:space="preserve"> ecosystem clearly specify:</w:t>
      </w:r>
    </w:p>
    <w:p>
      <w:pPr>
        <w:pStyle w:val="BodyText"/>
        <w:numPr>
          <w:ilvl w:val="0"/>
          <w:numId w:val="27"/>
        </w:numPr>
        <w:tabs>
          <w:tab w:val="clear" w:pos="1134"/>
          <w:tab w:val="left" w:pos="709" w:leader="none"/>
        </w:tabs>
        <w:bidi w:val="0"/>
        <w:spacing w:before="0" w:after="0"/>
        <w:ind w:hanging="283" w:left="709"/>
        <w:jc w:val="left"/>
        <w:rPr/>
      </w:pPr>
      <w:r>
        <w:rPr/>
        <w:t xml:space="preserve">who the recognized issuers are </w:t>
      </w:r>
    </w:p>
    <w:p>
      <w:pPr>
        <w:pStyle w:val="BodyText"/>
        <w:numPr>
          <w:ilvl w:val="0"/>
          <w:numId w:val="27"/>
        </w:numPr>
        <w:tabs>
          <w:tab w:val="clear" w:pos="1134"/>
          <w:tab w:val="left" w:pos="709" w:leader="none"/>
        </w:tabs>
        <w:bidi w:val="0"/>
        <w:spacing w:before="0" w:after="0"/>
        <w:ind w:hanging="283" w:left="709"/>
        <w:jc w:val="left"/>
        <w:rPr/>
      </w:pPr>
      <w:r>
        <w:rPr/>
        <w:t xml:space="preserve">how issuer status is validated </w:t>
      </w:r>
    </w:p>
    <w:p>
      <w:pPr>
        <w:pStyle w:val="BodyText"/>
        <w:numPr>
          <w:ilvl w:val="0"/>
          <w:numId w:val="27"/>
        </w:numPr>
        <w:tabs>
          <w:tab w:val="clear" w:pos="1134"/>
          <w:tab w:val="left" w:pos="709" w:leader="none"/>
        </w:tabs>
        <w:bidi w:val="0"/>
        <w:spacing w:before="0" w:after="0"/>
        <w:ind w:hanging="283" w:left="709"/>
        <w:jc w:val="left"/>
        <w:rPr/>
      </w:pPr>
      <w:r>
        <w:rPr/>
        <w:t xml:space="preserve">how revocation and suspension are published </w:t>
      </w:r>
    </w:p>
    <w:p>
      <w:pPr>
        <w:pStyle w:val="BodyText"/>
        <w:numPr>
          <w:ilvl w:val="0"/>
          <w:numId w:val="27"/>
        </w:numPr>
        <w:tabs>
          <w:tab w:val="clear" w:pos="1134"/>
          <w:tab w:val="left" w:pos="709" w:leader="none"/>
        </w:tabs>
        <w:bidi w:val="0"/>
        <w:ind w:hanging="283" w:left="709"/>
        <w:jc w:val="left"/>
        <w:rPr/>
      </w:pPr>
      <w:r>
        <w:rPr/>
        <w:t xml:space="preserve">how relying parties verify current trust status </w:t>
      </w:r>
    </w:p>
    <w:p>
      <w:pPr>
        <w:pStyle w:val="Heading3"/>
        <w:bidi w:val="0"/>
        <w:jc w:val="left"/>
        <w:rPr/>
      </w:pPr>
      <w:r>
        <w:rPr/>
        <w:t>6.11 Preferred Public Architecture</w:t>
      </w:r>
    </w:p>
    <w:p>
      <w:pPr>
        <w:pStyle w:val="BodyText"/>
        <w:bidi w:val="0"/>
        <w:jc w:val="left"/>
        <w:rPr/>
      </w:pPr>
      <w:r>
        <w:rPr/>
        <w:t>The preferred public architecture under this standard is a hybrid model:</w:t>
      </w:r>
    </w:p>
    <w:p>
      <w:pPr>
        <w:pStyle w:val="BodyText"/>
        <w:numPr>
          <w:ilvl w:val="0"/>
          <w:numId w:val="28"/>
        </w:numPr>
        <w:tabs>
          <w:tab w:val="clear" w:pos="1134"/>
          <w:tab w:val="left" w:pos="709" w:leader="none"/>
        </w:tabs>
        <w:bidi w:val="0"/>
        <w:spacing w:before="0" w:after="0"/>
        <w:ind w:hanging="283" w:left="709"/>
        <w:jc w:val="left"/>
        <w:rPr/>
      </w:pPr>
      <w:r>
        <w:rPr/>
        <w:t xml:space="preserve">private enterprise identity remains directory-native </w:t>
      </w:r>
    </w:p>
    <w:p>
      <w:pPr>
        <w:pStyle w:val="BodyText"/>
        <w:numPr>
          <w:ilvl w:val="0"/>
          <w:numId w:val="28"/>
        </w:numPr>
        <w:tabs>
          <w:tab w:val="clear" w:pos="1134"/>
          <w:tab w:val="left" w:pos="709" w:leader="none"/>
        </w:tabs>
        <w:bidi w:val="0"/>
        <w:spacing w:before="0" w:after="0"/>
        <w:ind w:hanging="283" w:left="709"/>
        <w:jc w:val="left"/>
        <w:rPr/>
      </w:pPr>
      <w:r>
        <w:rPr/>
        <w:t xml:space="preserve">public identity is issuer-accredited and publicly verifiable </w:t>
      </w:r>
    </w:p>
    <w:p>
      <w:pPr>
        <w:pStyle w:val="BodyText"/>
        <w:numPr>
          <w:ilvl w:val="0"/>
          <w:numId w:val="28"/>
        </w:numPr>
        <w:tabs>
          <w:tab w:val="clear" w:pos="1134"/>
          <w:tab w:val="left" w:pos="709" w:leader="none"/>
        </w:tabs>
        <w:bidi w:val="0"/>
        <w:spacing w:before="0" w:after="0"/>
        <w:ind w:hanging="283" w:left="709"/>
        <w:jc w:val="left"/>
        <w:rPr/>
      </w:pPr>
      <w:r>
        <w:rPr/>
        <w:t xml:space="preserve">verifiable credential and decentralized identifier projections </w:t>
      </w:r>
      <w:r>
        <w:rPr>
          <w:rStyle w:val="SourceText"/>
        </w:rPr>
        <w:t>MAY</w:t>
      </w:r>
      <w:r>
        <w:rPr/>
        <w:t xml:space="preserve"> be supported as optional portability profiles </w:t>
      </w:r>
    </w:p>
    <w:p>
      <w:pPr>
        <w:pStyle w:val="BodyText"/>
        <w:numPr>
          <w:ilvl w:val="0"/>
          <w:numId w:val="28"/>
        </w:numPr>
        <w:tabs>
          <w:tab w:val="clear" w:pos="1134"/>
          <w:tab w:val="left" w:pos="709" w:leader="none"/>
        </w:tabs>
        <w:bidi w:val="0"/>
        <w:ind w:hanging="283" w:left="709"/>
        <w:jc w:val="left"/>
        <w:rPr/>
      </w:pPr>
      <w:r>
        <w:rPr/>
        <w:t xml:space="preserve">transparency publication </w:t>
      </w:r>
      <w:r>
        <w:rPr>
          <w:rStyle w:val="SourceText"/>
        </w:rPr>
        <w:t>SHOULD</w:t>
      </w:r>
      <w:r>
        <w:rPr/>
        <w:t xml:space="preserve"> exist regardless of whether the underlying authority model is centralized, federated, or decentralized </w:t>
      </w:r>
    </w:p>
    <w:p>
      <w:pPr>
        <w:pStyle w:val="BodyText"/>
        <w:bidi w:val="0"/>
        <w:jc w:val="left"/>
        <w:rPr/>
      </w:pPr>
      <w:r>
        <w:rPr/>
        <w:t>This preference is based on current adoption and operational precedent:</w:t>
      </w:r>
    </w:p>
    <w:p>
      <w:pPr>
        <w:pStyle w:val="BodyText"/>
        <w:numPr>
          <w:ilvl w:val="0"/>
          <w:numId w:val="29"/>
        </w:numPr>
        <w:tabs>
          <w:tab w:val="clear" w:pos="1134"/>
          <w:tab w:val="left" w:pos="709" w:leader="none"/>
        </w:tabs>
        <w:bidi w:val="0"/>
        <w:spacing w:before="0" w:after="0"/>
        <w:ind w:hanging="283" w:left="709"/>
        <w:jc w:val="left"/>
        <w:rPr/>
      </w:pPr>
      <w:r>
        <w:rPr/>
        <w:t xml:space="preserve">directory systems remain the practical enterprise anchor for internal identity </w:t>
      </w:r>
    </w:p>
    <w:p>
      <w:pPr>
        <w:pStyle w:val="BodyText"/>
        <w:numPr>
          <w:ilvl w:val="0"/>
          <w:numId w:val="29"/>
        </w:numPr>
        <w:tabs>
          <w:tab w:val="clear" w:pos="1134"/>
          <w:tab w:val="left" w:pos="709" w:leader="none"/>
        </w:tabs>
        <w:bidi w:val="0"/>
        <w:spacing w:before="0" w:after="0"/>
        <w:ind w:hanging="283" w:left="709"/>
        <w:jc w:val="left"/>
        <w:rPr/>
      </w:pPr>
      <w:r>
        <w:rPr/>
        <w:t xml:space="preserve">certificate and domain-controlled trust models remain the most deployable public-trust pattern </w:t>
      </w:r>
    </w:p>
    <w:p>
      <w:pPr>
        <w:pStyle w:val="BodyText"/>
        <w:numPr>
          <w:ilvl w:val="0"/>
          <w:numId w:val="29"/>
        </w:numPr>
        <w:tabs>
          <w:tab w:val="clear" w:pos="1134"/>
          <w:tab w:val="left" w:pos="709" w:leader="none"/>
        </w:tabs>
        <w:bidi w:val="0"/>
        <w:ind w:hanging="283" w:left="709"/>
        <w:jc w:val="left"/>
        <w:rPr/>
      </w:pPr>
      <w:r>
        <w:rPr/>
        <w:t xml:space="preserve">decentralized profiles remain useful, but should not be the only available public-validation path </w:t>
      </w:r>
    </w:p>
    <w:p>
      <w:pPr>
        <w:pStyle w:val="BodyText"/>
        <w:bidi w:val="0"/>
        <w:jc w:val="left"/>
        <w:rPr/>
      </w:pPr>
      <w:r>
        <w:rPr/>
        <w:t>This standard is intended to be complementary to, and in active liaison with, adjacent identity efforts rather than competitive with them. In particular:</w:t>
      </w:r>
    </w:p>
    <w:p>
      <w:pPr>
        <w:pStyle w:val="BodyText"/>
        <w:numPr>
          <w:ilvl w:val="0"/>
          <w:numId w:val="30"/>
        </w:numPr>
        <w:tabs>
          <w:tab w:val="clear" w:pos="1134"/>
          <w:tab w:val="left" w:pos="709" w:leader="none"/>
        </w:tabs>
        <w:bidi w:val="0"/>
        <w:spacing w:before="0" w:after="0"/>
        <w:ind w:hanging="283" w:left="709"/>
        <w:jc w:val="left"/>
        <w:rPr/>
      </w:pPr>
      <w:r>
        <w:rPr>
          <w:rStyle w:val="SourceText"/>
        </w:rPr>
        <w:t>OpenID</w:t>
      </w:r>
      <w:r>
        <w:rPr/>
        <w:t xml:space="preserve"> </w:t>
      </w:r>
      <w:r>
        <w:rPr>
          <w:rStyle w:val="SourceText"/>
        </w:rPr>
        <w:t>AIIM</w:t>
      </w:r>
      <w:r>
        <w:rPr/>
        <w:t xml:space="preserve"> occupies the transaction, authentication, authorization, and identity-modularization layer </w:t>
      </w:r>
    </w:p>
    <w:p>
      <w:pPr>
        <w:pStyle w:val="BodyText"/>
        <w:numPr>
          <w:ilvl w:val="0"/>
          <w:numId w:val="30"/>
        </w:numPr>
        <w:tabs>
          <w:tab w:val="clear" w:pos="1134"/>
          <w:tab w:val="left" w:pos="709" w:leader="none"/>
        </w:tabs>
        <w:bidi w:val="0"/>
        <w:spacing w:before="0" w:after="0"/>
        <w:ind w:hanging="283" w:left="709"/>
        <w:jc w:val="left"/>
        <w:rPr/>
      </w:pPr>
      <w:r>
        <w:rPr/>
        <w:t xml:space="preserve">the </w:t>
      </w:r>
      <w:r>
        <w:rPr>
          <w:rStyle w:val="SourceText"/>
        </w:rPr>
        <w:t>W3C</w:t>
      </w:r>
      <w:r>
        <w:rPr/>
        <w:t xml:space="preserve"> Agent Identity Registry Protocol Community Group occupies an adjacent verifiable identity-infrastructure lane </w:t>
      </w:r>
    </w:p>
    <w:p>
      <w:pPr>
        <w:pStyle w:val="BodyText"/>
        <w:numPr>
          <w:ilvl w:val="0"/>
          <w:numId w:val="30"/>
        </w:numPr>
        <w:tabs>
          <w:tab w:val="clear" w:pos="1134"/>
          <w:tab w:val="left" w:pos="709" w:leader="none"/>
        </w:tabs>
        <w:bidi w:val="0"/>
        <w:ind w:hanging="283" w:left="709"/>
        <w:jc w:val="left"/>
        <w:rPr/>
      </w:pPr>
      <w:r>
        <w:rPr>
          <w:rStyle w:val="SourceText"/>
        </w:rPr>
        <w:t>CoSAI</w:t>
      </w:r>
      <w:r>
        <w:rPr/>
        <w:t xml:space="preserve"> occupies a practical control-framework lane for enterprise deployment </w:t>
      </w:r>
    </w:p>
    <w:p>
      <w:pPr>
        <w:pStyle w:val="BodyText"/>
        <w:bidi w:val="0"/>
        <w:jc w:val="left"/>
        <w:rPr/>
      </w:pPr>
      <w:r>
        <w:rPr>
          <w:rStyle w:val="SourceText"/>
        </w:rPr>
        <w:t>GAID</w:t>
      </w:r>
      <w:r>
        <w:rPr/>
        <w:t xml:space="preserve"> focuses on the compositional identity, badge, receipt, and issuer-governance semantics that these efforts can consume, profile, or align around.</w:t>
      </w:r>
    </w:p>
    <w:p>
      <w:pPr>
        <w:pStyle w:val="BodyText"/>
        <w:bidi w:val="0"/>
        <w:jc w:val="left"/>
        <w:rPr/>
      </w:pPr>
      <w:r>
        <w:rPr/>
        <w:drawing>
          <wp:inline distT="0" distB="0" distL="0" distR="0">
            <wp:extent cx="29870400" cy="30213300"/>
            <wp:effectExtent l="0" t="0" r="0" b="0"/>
            <wp:docPr id="2" name="Image2" descr="GAID public verification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GAID public verification architecture"/>
                    <pic:cNvPicPr>
                      <a:picLocks noChangeAspect="1" noChangeArrowheads="1"/>
                    </pic:cNvPicPr>
                  </pic:nvPicPr>
                  <pic:blipFill>
                    <a:blip r:embed="rId65"/>
                    <a:stretch>
                      <a:fillRect/>
                    </a:stretch>
                  </pic:blipFill>
                  <pic:spPr bwMode="auto">
                    <a:xfrm>
                      <a:off x="0" y="0"/>
                      <a:ext cx="29870400" cy="30213300"/>
                    </a:xfrm>
                    <a:prstGeom prst="rect">
                      <a:avLst/>
                    </a:prstGeom>
                    <a:noFill/>
                  </pic:spPr>
                </pic:pic>
              </a:graphicData>
            </a:graphic>
          </wp:inline>
        </w:drawing>
      </w:r>
    </w:p>
    <w:p>
      <w:pPr>
        <w:pStyle w:val="BodyText"/>
        <w:bidi w:val="0"/>
        <w:jc w:val="left"/>
        <w:rPr/>
      </w:pPr>
      <w:r>
        <w:rPr>
          <w:rStyle w:val="Emphasis"/>
        </w:rPr>
        <w:t xml:space="preserve">Figure 2. Preferred hybrid </w:t>
      </w:r>
      <w:r>
        <w:rPr>
          <w:rStyle w:val="SourceText"/>
        </w:rPr>
        <w:t>GAID</w:t>
      </w:r>
      <w:r>
        <w:rPr>
          <w:rStyle w:val="Emphasis"/>
        </w:rPr>
        <w:t xml:space="preserve"> verification composes private identity, accredited public identity, status, and verifier workflows rather than collapsing trust into one mechanism.</w:t>
      </w:r>
    </w:p>
    <w:p>
      <w:pPr>
        <w:pStyle w:val="Heading3"/>
        <w:bidi w:val="0"/>
        <w:jc w:val="left"/>
        <w:rPr/>
      </w:pPr>
      <w:r>
        <w:rPr/>
        <w:t>6.12 Staged Adoption Model</w:t>
      </w:r>
    </w:p>
    <w:p>
      <w:pPr>
        <w:pStyle w:val="BodyText"/>
        <w:bidi w:val="0"/>
        <w:jc w:val="left"/>
        <w:rPr/>
      </w:pPr>
      <w:r>
        <w:rPr>
          <w:rStyle w:val="SourceText"/>
        </w:rPr>
        <w:t>GAID</w:t>
      </w:r>
      <w:r>
        <w:rPr/>
        <w:t xml:space="preserve"> is designed for staged adoption.</w:t>
      </w:r>
    </w:p>
    <w:p>
      <w:pPr>
        <w:pStyle w:val="BodyText"/>
        <w:bidi w:val="0"/>
        <w:jc w:val="left"/>
        <w:rPr/>
      </w:pPr>
      <w:r>
        <w:rPr/>
        <w:t>The expected path is:</w:t>
      </w:r>
    </w:p>
    <w:p>
      <w:pPr>
        <w:pStyle w:val="BodyText"/>
        <w:numPr>
          <w:ilvl w:val="0"/>
          <w:numId w:val="31"/>
        </w:numPr>
        <w:tabs>
          <w:tab w:val="clear" w:pos="1134"/>
          <w:tab w:val="left" w:pos="709" w:leader="none"/>
        </w:tabs>
        <w:bidi w:val="0"/>
        <w:spacing w:before="0" w:after="0"/>
        <w:ind w:hanging="283" w:left="709"/>
        <w:jc w:val="left"/>
        <w:rPr/>
      </w:pPr>
      <w:r>
        <w:rPr>
          <w:rStyle w:val="SourceText"/>
        </w:rPr>
        <w:t>enterprise-private foundation</w:t>
      </w:r>
      <w:r>
        <w:rPr/>
        <w:t xml:space="preserve"> </w:t>
      </w:r>
    </w:p>
    <w:p>
      <w:pPr>
        <w:pStyle w:val="BodyText"/>
        <w:numPr>
          <w:ilvl w:val="0"/>
          <w:numId w:val="31"/>
        </w:numPr>
        <w:tabs>
          <w:tab w:val="clear" w:pos="1134"/>
          <w:tab w:val="left" w:pos="709" w:leader="none"/>
        </w:tabs>
        <w:bidi w:val="0"/>
        <w:spacing w:before="0" w:after="0"/>
        <w:ind w:hanging="283" w:left="709"/>
        <w:jc w:val="left"/>
        <w:rPr/>
      </w:pPr>
      <w:r>
        <w:rPr>
          <w:rStyle w:val="SourceText"/>
        </w:rPr>
        <w:t>federated or accredited cross-boundary trust</w:t>
      </w:r>
      <w:r>
        <w:rPr/>
        <w:t xml:space="preserve"> </w:t>
      </w:r>
    </w:p>
    <w:p>
      <w:pPr>
        <w:pStyle w:val="BodyText"/>
        <w:numPr>
          <w:ilvl w:val="0"/>
          <w:numId w:val="31"/>
        </w:numPr>
        <w:tabs>
          <w:tab w:val="clear" w:pos="1134"/>
          <w:tab w:val="left" w:pos="709" w:leader="none"/>
        </w:tabs>
        <w:bidi w:val="0"/>
        <w:ind w:hanging="283" w:left="709"/>
        <w:jc w:val="left"/>
        <w:rPr/>
      </w:pPr>
      <w:r>
        <w:rPr>
          <w:rStyle w:val="SourceText"/>
        </w:rPr>
        <w:t>global public trust fabric</w:t>
      </w:r>
      <w:r>
        <w:rPr/>
        <w:t xml:space="preserve"> </w:t>
      </w:r>
    </w:p>
    <w:p>
      <w:pPr>
        <w:pStyle w:val="BodyText"/>
        <w:bidi w:val="0"/>
        <w:jc w:val="left"/>
        <w:rPr/>
      </w:pPr>
      <w:r>
        <w:rPr/>
        <w:t>In the first stage:</w:t>
      </w:r>
    </w:p>
    <w:p>
      <w:pPr>
        <w:pStyle w:val="BodyText"/>
        <w:numPr>
          <w:ilvl w:val="0"/>
          <w:numId w:val="32"/>
        </w:numPr>
        <w:tabs>
          <w:tab w:val="clear" w:pos="1134"/>
          <w:tab w:val="left" w:pos="709" w:leader="none"/>
        </w:tabs>
        <w:bidi w:val="0"/>
        <w:spacing w:before="0" w:after="0"/>
        <w:ind w:hanging="283" w:left="709"/>
        <w:jc w:val="left"/>
        <w:rPr/>
      </w:pPr>
      <w:r>
        <w:rPr/>
        <w:t xml:space="preserve">private </w:t>
      </w:r>
      <w:r>
        <w:rPr>
          <w:rStyle w:val="SourceText"/>
        </w:rPr>
        <w:t>GAID</w:t>
      </w:r>
      <w:r>
        <w:rPr/>
        <w:t xml:space="preserve"> issuance </w:t>
      </w:r>
    </w:p>
    <w:p>
      <w:pPr>
        <w:pStyle w:val="BodyText"/>
        <w:numPr>
          <w:ilvl w:val="0"/>
          <w:numId w:val="32"/>
        </w:numPr>
        <w:tabs>
          <w:tab w:val="clear" w:pos="1134"/>
          <w:tab w:val="left" w:pos="709" w:leader="none"/>
        </w:tabs>
        <w:bidi w:val="0"/>
        <w:spacing w:before="0" w:after="0"/>
        <w:ind w:hanging="283" w:left="709"/>
        <w:jc w:val="left"/>
        <w:rPr/>
      </w:pPr>
      <w:r>
        <w:rPr/>
        <w:t xml:space="preserve">internal </w:t>
      </w:r>
      <w:r>
        <w:rPr>
          <w:rStyle w:val="SourceText"/>
        </w:rPr>
        <w:t>AIDoc</w:t>
      </w:r>
      <w:r>
        <w:rPr/>
        <w:t xml:space="preserve"> resolution </w:t>
      </w:r>
    </w:p>
    <w:p>
      <w:pPr>
        <w:pStyle w:val="BodyText"/>
        <w:numPr>
          <w:ilvl w:val="0"/>
          <w:numId w:val="32"/>
        </w:numPr>
        <w:tabs>
          <w:tab w:val="clear" w:pos="1134"/>
          <w:tab w:val="left" w:pos="709" w:leader="none"/>
        </w:tabs>
        <w:bidi w:val="0"/>
        <w:spacing w:before="0" w:after="0"/>
        <w:ind w:hanging="283" w:left="709"/>
        <w:jc w:val="left"/>
        <w:rPr/>
      </w:pPr>
      <w:r>
        <w:rPr/>
        <w:t xml:space="preserve">enterprise directory projection </w:t>
      </w:r>
    </w:p>
    <w:p>
      <w:pPr>
        <w:pStyle w:val="BodyText"/>
        <w:numPr>
          <w:ilvl w:val="0"/>
          <w:numId w:val="32"/>
        </w:numPr>
        <w:tabs>
          <w:tab w:val="clear" w:pos="1134"/>
          <w:tab w:val="left" w:pos="709" w:leader="none"/>
        </w:tabs>
        <w:bidi w:val="0"/>
        <w:spacing w:before="0" w:after="0"/>
        <w:ind w:hanging="283" w:left="709"/>
        <w:jc w:val="left"/>
        <w:rPr/>
      </w:pPr>
      <w:r>
        <w:rPr/>
        <w:t xml:space="preserve">organization-attested badges </w:t>
      </w:r>
    </w:p>
    <w:p>
      <w:pPr>
        <w:pStyle w:val="BodyText"/>
        <w:numPr>
          <w:ilvl w:val="0"/>
          <w:numId w:val="32"/>
        </w:numPr>
        <w:tabs>
          <w:tab w:val="clear" w:pos="1134"/>
          <w:tab w:val="left" w:pos="709" w:leader="none"/>
        </w:tabs>
        <w:bidi w:val="0"/>
        <w:ind w:hanging="283" w:left="709"/>
        <w:jc w:val="left"/>
        <w:rPr/>
      </w:pPr>
      <w:r>
        <w:rPr/>
        <w:t xml:space="preserve">internal receipts </w:t>
      </w:r>
    </w:p>
    <w:p>
      <w:pPr>
        <w:pStyle w:val="BodyText"/>
        <w:bidi w:val="0"/>
        <w:jc w:val="left"/>
        <w:rPr/>
      </w:pPr>
      <w:r>
        <w:rPr/>
        <w:t>In the second stage:</w:t>
      </w:r>
    </w:p>
    <w:p>
      <w:pPr>
        <w:pStyle w:val="BodyText"/>
        <w:numPr>
          <w:ilvl w:val="0"/>
          <w:numId w:val="33"/>
        </w:numPr>
        <w:tabs>
          <w:tab w:val="clear" w:pos="1134"/>
          <w:tab w:val="left" w:pos="709" w:leader="none"/>
        </w:tabs>
        <w:bidi w:val="0"/>
        <w:spacing w:before="0" w:after="0"/>
        <w:ind w:hanging="283" w:left="709"/>
        <w:jc w:val="left"/>
        <w:rPr/>
      </w:pPr>
      <w:r>
        <w:rPr/>
        <w:t xml:space="preserve">public or partner-facing </w:t>
      </w:r>
      <w:r>
        <w:rPr>
          <w:rStyle w:val="SourceText"/>
        </w:rPr>
        <w:t>GAID</w:t>
      </w:r>
      <w:r>
        <w:rPr/>
        <w:t xml:space="preserve"> </w:t>
      </w:r>
    </w:p>
    <w:p>
      <w:pPr>
        <w:pStyle w:val="BodyText"/>
        <w:numPr>
          <w:ilvl w:val="0"/>
          <w:numId w:val="33"/>
        </w:numPr>
        <w:tabs>
          <w:tab w:val="clear" w:pos="1134"/>
          <w:tab w:val="left" w:pos="709" w:leader="none"/>
        </w:tabs>
        <w:bidi w:val="0"/>
        <w:spacing w:before="0" w:after="0"/>
        <w:ind w:hanging="283" w:left="709"/>
        <w:jc w:val="left"/>
        <w:rPr/>
      </w:pPr>
      <w:r>
        <w:rPr/>
        <w:t xml:space="preserve">accredited issuer or recognized federation participation </w:t>
      </w:r>
    </w:p>
    <w:p>
      <w:pPr>
        <w:pStyle w:val="BodyText"/>
        <w:numPr>
          <w:ilvl w:val="0"/>
          <w:numId w:val="33"/>
        </w:numPr>
        <w:tabs>
          <w:tab w:val="clear" w:pos="1134"/>
          <w:tab w:val="left" w:pos="709" w:leader="none"/>
        </w:tabs>
        <w:bidi w:val="0"/>
        <w:spacing w:before="0" w:after="0"/>
        <w:ind w:hanging="283" w:left="709"/>
        <w:jc w:val="left"/>
        <w:rPr/>
      </w:pPr>
      <w:r>
        <w:rPr/>
        <w:t xml:space="preserve">signed public </w:t>
      </w:r>
      <w:r>
        <w:rPr>
          <w:rStyle w:val="SourceText"/>
        </w:rPr>
        <w:t>AIDoc</w:t>
      </w:r>
      <w:r>
        <w:rPr/>
        <w:t xml:space="preserve"> </w:t>
      </w:r>
    </w:p>
    <w:p>
      <w:pPr>
        <w:pStyle w:val="BodyText"/>
        <w:numPr>
          <w:ilvl w:val="0"/>
          <w:numId w:val="33"/>
        </w:numPr>
        <w:tabs>
          <w:tab w:val="clear" w:pos="1134"/>
          <w:tab w:val="left" w:pos="709" w:leader="none"/>
        </w:tabs>
        <w:bidi w:val="0"/>
        <w:spacing w:before="0" w:after="0"/>
        <w:ind w:hanging="283" w:left="709"/>
        <w:jc w:val="left"/>
        <w:rPr/>
      </w:pPr>
      <w:r>
        <w:rPr/>
        <w:t xml:space="preserve">public status and revocation </w:t>
      </w:r>
    </w:p>
    <w:p>
      <w:pPr>
        <w:pStyle w:val="BodyText"/>
        <w:numPr>
          <w:ilvl w:val="0"/>
          <w:numId w:val="33"/>
        </w:numPr>
        <w:tabs>
          <w:tab w:val="clear" w:pos="1134"/>
          <w:tab w:val="left" w:pos="709" w:leader="none"/>
        </w:tabs>
        <w:bidi w:val="0"/>
        <w:ind w:hanging="283" w:left="709"/>
        <w:jc w:val="left"/>
        <w:rPr/>
      </w:pPr>
      <w:r>
        <w:rPr/>
        <w:t xml:space="preserve">stronger assurance and transparency publication </w:t>
      </w:r>
    </w:p>
    <w:p>
      <w:pPr>
        <w:pStyle w:val="BodyText"/>
        <w:bidi w:val="0"/>
        <w:jc w:val="left"/>
        <w:rPr/>
      </w:pPr>
      <w:r>
        <w:rPr/>
        <w:t>In the third stage:</w:t>
      </w:r>
    </w:p>
    <w:p>
      <w:pPr>
        <w:pStyle w:val="BodyText"/>
        <w:numPr>
          <w:ilvl w:val="0"/>
          <w:numId w:val="34"/>
        </w:numPr>
        <w:tabs>
          <w:tab w:val="clear" w:pos="1134"/>
          <w:tab w:val="left" w:pos="709" w:leader="none"/>
        </w:tabs>
        <w:bidi w:val="0"/>
        <w:spacing w:before="0" w:after="0"/>
        <w:ind w:hanging="283" w:left="709"/>
        <w:jc w:val="left"/>
        <w:rPr/>
      </w:pPr>
      <w:r>
        <w:rPr/>
        <w:t xml:space="preserve">broader public verifier interoperability </w:t>
      </w:r>
    </w:p>
    <w:p>
      <w:pPr>
        <w:pStyle w:val="BodyText"/>
        <w:numPr>
          <w:ilvl w:val="0"/>
          <w:numId w:val="34"/>
        </w:numPr>
        <w:tabs>
          <w:tab w:val="clear" w:pos="1134"/>
          <w:tab w:val="left" w:pos="709" w:leader="none"/>
        </w:tabs>
        <w:bidi w:val="0"/>
        <w:spacing w:before="0" w:after="0"/>
        <w:ind w:hanging="283" w:left="709"/>
        <w:jc w:val="left"/>
        <w:rPr/>
      </w:pPr>
      <w:r>
        <w:rPr/>
        <w:t xml:space="preserve">optional decentralized portability profiles </w:t>
      </w:r>
    </w:p>
    <w:p>
      <w:pPr>
        <w:pStyle w:val="BodyText"/>
        <w:numPr>
          <w:ilvl w:val="0"/>
          <w:numId w:val="34"/>
        </w:numPr>
        <w:tabs>
          <w:tab w:val="clear" w:pos="1134"/>
          <w:tab w:val="left" w:pos="709" w:leader="none"/>
        </w:tabs>
        <w:bidi w:val="0"/>
        <w:ind w:hanging="283" w:left="709"/>
        <w:jc w:val="left"/>
        <w:rPr/>
      </w:pPr>
      <w:r>
        <w:rPr/>
        <w:t xml:space="preserve">stronger cross-jurisdiction governance and dispute handling </w:t>
      </w:r>
    </w:p>
    <w:p>
      <w:pPr>
        <w:pStyle w:val="BodyText"/>
        <w:bidi w:val="0"/>
        <w:jc w:val="left"/>
        <w:rPr/>
      </w:pPr>
      <w:r>
        <w:rPr/>
        <w:t xml:space="preserve">This staged model is not a sign of incompleteness. It follows the historical pattern by which durable identifier systems such as </w:t>
      </w:r>
      <w:r>
        <w:rPr>
          <w:rStyle w:val="SourceText"/>
        </w:rPr>
        <w:t>ISBN</w:t>
      </w:r>
      <w:r>
        <w:rPr/>
        <w:t xml:space="preserve">, </w:t>
      </w:r>
      <w:r>
        <w:rPr>
          <w:rStyle w:val="SourceText"/>
        </w:rPr>
        <w:t>DNS</w:t>
      </w:r>
      <w:r>
        <w:rPr/>
        <w:t>, and public certificate ecosystems became operationally trusted at scale.</w:t>
      </w:r>
    </w:p>
    <w:p>
      <w:pPr>
        <w:pStyle w:val="Heading3"/>
        <w:bidi w:val="0"/>
        <w:jc w:val="left"/>
        <w:rPr/>
      </w:pPr>
      <w:r>
        <w:rPr/>
        <w:t>6.13 Governance Dependencies and Economic Model</w:t>
      </w:r>
    </w:p>
    <w:p>
      <w:pPr>
        <w:pStyle w:val="BodyText"/>
        <w:bidi w:val="0"/>
        <w:jc w:val="left"/>
        <w:rPr/>
      </w:pPr>
      <w:r>
        <w:rPr/>
        <w:t xml:space="preserve">Public </w:t>
      </w:r>
      <w:r>
        <w:rPr>
          <w:rStyle w:val="SourceText"/>
        </w:rPr>
        <w:t>GAID</w:t>
      </w:r>
      <w:r>
        <w:rPr/>
        <w:t xml:space="preserve"> operation depends on recognized governance and sustainable funding.</w:t>
      </w:r>
    </w:p>
    <w:p>
      <w:pPr>
        <w:pStyle w:val="BodyText"/>
        <w:bidi w:val="0"/>
        <w:jc w:val="left"/>
        <w:rPr/>
      </w:pPr>
      <w:r>
        <w:rPr/>
        <w:t xml:space="preserve">Therefore a </w:t>
      </w:r>
      <w:r>
        <w:rPr>
          <w:rStyle w:val="SourceText"/>
        </w:rPr>
        <w:t>GAID-Public</w:t>
      </w:r>
      <w:r>
        <w:rPr/>
        <w:t xml:space="preserve"> ecosystem </w:t>
      </w:r>
      <w:r>
        <w:rPr>
          <w:rStyle w:val="SourceText"/>
        </w:rPr>
        <w:t>MUST</w:t>
      </w:r>
      <w:r>
        <w:rPr/>
        <w:t xml:space="preserve"> define:</w:t>
      </w:r>
    </w:p>
    <w:p>
      <w:pPr>
        <w:pStyle w:val="BodyText"/>
        <w:numPr>
          <w:ilvl w:val="0"/>
          <w:numId w:val="35"/>
        </w:numPr>
        <w:tabs>
          <w:tab w:val="clear" w:pos="1134"/>
          <w:tab w:val="left" w:pos="709" w:leader="none"/>
        </w:tabs>
        <w:bidi w:val="0"/>
        <w:spacing w:before="0" w:after="0"/>
        <w:ind w:hanging="283" w:left="709"/>
        <w:jc w:val="left"/>
        <w:rPr/>
      </w:pPr>
      <w:r>
        <w:rPr/>
        <w:t xml:space="preserve">root or federation authority responsibilities </w:t>
      </w:r>
    </w:p>
    <w:p>
      <w:pPr>
        <w:pStyle w:val="BodyText"/>
        <w:numPr>
          <w:ilvl w:val="0"/>
          <w:numId w:val="35"/>
        </w:numPr>
        <w:tabs>
          <w:tab w:val="clear" w:pos="1134"/>
          <w:tab w:val="left" w:pos="709" w:leader="none"/>
        </w:tabs>
        <w:bidi w:val="0"/>
        <w:spacing w:before="0" w:after="0"/>
        <w:ind w:hanging="283" w:left="709"/>
        <w:jc w:val="left"/>
        <w:rPr/>
      </w:pPr>
      <w:r>
        <w:rPr/>
        <w:t xml:space="preserve">issuer accreditation requirements </w:t>
      </w:r>
    </w:p>
    <w:p>
      <w:pPr>
        <w:pStyle w:val="BodyText"/>
        <w:numPr>
          <w:ilvl w:val="0"/>
          <w:numId w:val="35"/>
        </w:numPr>
        <w:tabs>
          <w:tab w:val="clear" w:pos="1134"/>
          <w:tab w:val="left" w:pos="709" w:leader="none"/>
        </w:tabs>
        <w:bidi w:val="0"/>
        <w:spacing w:before="0" w:after="0"/>
        <w:ind w:hanging="283" w:left="709"/>
        <w:jc w:val="left"/>
        <w:rPr/>
      </w:pPr>
      <w:r>
        <w:rPr/>
        <w:t xml:space="preserve">audit and dispute processes </w:t>
      </w:r>
    </w:p>
    <w:p>
      <w:pPr>
        <w:pStyle w:val="BodyText"/>
        <w:numPr>
          <w:ilvl w:val="0"/>
          <w:numId w:val="35"/>
        </w:numPr>
        <w:tabs>
          <w:tab w:val="clear" w:pos="1134"/>
          <w:tab w:val="left" w:pos="709" w:leader="none"/>
        </w:tabs>
        <w:bidi w:val="0"/>
        <w:spacing w:before="0" w:after="0"/>
        <w:ind w:hanging="283" w:left="709"/>
        <w:jc w:val="left"/>
        <w:rPr/>
      </w:pPr>
      <w:r>
        <w:rPr/>
        <w:t xml:space="preserve">status and revocation publication responsibilities </w:t>
      </w:r>
    </w:p>
    <w:p>
      <w:pPr>
        <w:pStyle w:val="BodyText"/>
        <w:numPr>
          <w:ilvl w:val="0"/>
          <w:numId w:val="35"/>
        </w:numPr>
        <w:tabs>
          <w:tab w:val="clear" w:pos="1134"/>
          <w:tab w:val="left" w:pos="709" w:leader="none"/>
        </w:tabs>
        <w:bidi w:val="0"/>
        <w:ind w:hanging="283" w:left="709"/>
        <w:jc w:val="left"/>
        <w:rPr/>
      </w:pPr>
      <w:r>
        <w:rPr/>
        <w:t xml:space="preserve">funding and fee policies for the operating trust system </w:t>
      </w:r>
    </w:p>
    <w:p>
      <w:pPr>
        <w:pStyle w:val="BodyText"/>
        <w:bidi w:val="0"/>
        <w:jc w:val="left"/>
        <w:rPr/>
      </w:pPr>
      <w:r>
        <w:rPr/>
        <w:t>The preferred funding posture is:</w:t>
      </w:r>
    </w:p>
    <w:p>
      <w:pPr>
        <w:pStyle w:val="BodyText"/>
        <w:numPr>
          <w:ilvl w:val="0"/>
          <w:numId w:val="36"/>
        </w:numPr>
        <w:tabs>
          <w:tab w:val="clear" w:pos="1134"/>
          <w:tab w:val="left" w:pos="709" w:leader="none"/>
        </w:tabs>
        <w:bidi w:val="0"/>
        <w:spacing w:before="0" w:after="0"/>
        <w:ind w:hanging="283" w:left="709"/>
        <w:jc w:val="left"/>
        <w:rPr/>
      </w:pPr>
      <w:r>
        <w:rPr/>
        <w:t xml:space="preserve">no mandatory public-fee dependency for private enterprise </w:t>
      </w:r>
      <w:r>
        <w:rPr>
          <w:rStyle w:val="SourceText"/>
        </w:rPr>
        <w:t>GAID</w:t>
      </w:r>
      <w:r>
        <w:rPr/>
        <w:t xml:space="preserve"> </w:t>
      </w:r>
    </w:p>
    <w:p>
      <w:pPr>
        <w:pStyle w:val="BodyText"/>
        <w:numPr>
          <w:ilvl w:val="0"/>
          <w:numId w:val="36"/>
        </w:numPr>
        <w:tabs>
          <w:tab w:val="clear" w:pos="1134"/>
          <w:tab w:val="left" w:pos="709" w:leader="none"/>
        </w:tabs>
        <w:bidi w:val="0"/>
        <w:spacing w:before="0" w:after="0"/>
        <w:ind w:hanging="283" w:left="709"/>
        <w:jc w:val="left"/>
        <w:rPr/>
      </w:pPr>
      <w:r>
        <w:rPr/>
        <w:t xml:space="preserve">issuer accreditation and operating fees for public issuance </w:t>
      </w:r>
    </w:p>
    <w:p>
      <w:pPr>
        <w:pStyle w:val="BodyText"/>
        <w:numPr>
          <w:ilvl w:val="0"/>
          <w:numId w:val="36"/>
        </w:numPr>
        <w:tabs>
          <w:tab w:val="clear" w:pos="1134"/>
          <w:tab w:val="left" w:pos="709" w:leader="none"/>
        </w:tabs>
        <w:bidi w:val="0"/>
        <w:spacing w:before="0" w:after="0"/>
        <w:ind w:hanging="283" w:left="709"/>
        <w:jc w:val="left"/>
        <w:rPr/>
      </w:pPr>
      <w:r>
        <w:rPr/>
        <w:t xml:space="preserve">optional certification fees for higher-assurance badges </w:t>
      </w:r>
    </w:p>
    <w:p>
      <w:pPr>
        <w:pStyle w:val="BodyText"/>
        <w:numPr>
          <w:ilvl w:val="0"/>
          <w:numId w:val="36"/>
        </w:numPr>
        <w:tabs>
          <w:tab w:val="clear" w:pos="1134"/>
          <w:tab w:val="left" w:pos="709" w:leader="none"/>
        </w:tabs>
        <w:bidi w:val="0"/>
        <w:ind w:hanging="283" w:left="709"/>
        <w:jc w:val="left"/>
        <w:rPr/>
      </w:pPr>
      <w:r>
        <w:rPr/>
        <w:t xml:space="preserve">transparency and status infrastructure funded primarily by issuers or federation participants rather than by per-action usage charges </w:t>
      </w:r>
    </w:p>
    <w:p>
      <w:pPr>
        <w:pStyle w:val="BodyText"/>
        <w:bidi w:val="0"/>
        <w:jc w:val="left"/>
        <w:rPr/>
      </w:pPr>
      <w:r>
        <w:rPr/>
        <w:t xml:space="preserve">The standard </w:t>
      </w:r>
      <w:r>
        <w:rPr>
          <w:rStyle w:val="SourceText"/>
        </w:rPr>
        <w:t>SHOULD NOT</w:t>
      </w:r>
      <w:r>
        <w:rPr/>
        <w:t xml:space="preserve"> assume a per-receipt or per-agent-action public fee model because that scales poorly for high-volume operational use.</w:t>
      </w:r>
    </w:p>
    <w:p>
      <w:pPr>
        <w:pStyle w:val="Heading3"/>
        <w:bidi w:val="0"/>
        <w:jc w:val="left"/>
        <w:rPr/>
      </w:pPr>
      <w:r>
        <w:rPr/>
        <w:t>6.14 Open Questions for Global Adoption and Scale</w:t>
      </w:r>
    </w:p>
    <w:p>
      <w:pPr>
        <w:pStyle w:val="BodyText"/>
        <w:bidi w:val="0"/>
        <w:jc w:val="left"/>
        <w:rPr/>
      </w:pPr>
      <w:r>
        <w:rPr/>
        <w:t xml:space="preserve">The following questions remain important for global-scale adoption and </w:t>
      </w:r>
      <w:r>
        <w:rPr>
          <w:rStyle w:val="SourceText"/>
        </w:rPr>
        <w:t>SHOULD</w:t>
      </w:r>
      <w:r>
        <w:rPr/>
        <w:t xml:space="preserve"> be treated as governance work items rather than ignored ambiguities:</w:t>
      </w:r>
    </w:p>
    <w:p>
      <w:pPr>
        <w:pStyle w:val="BodyText"/>
        <w:numPr>
          <w:ilvl w:val="0"/>
          <w:numId w:val="37"/>
        </w:numPr>
        <w:tabs>
          <w:tab w:val="clear" w:pos="1134"/>
          <w:tab w:val="left" w:pos="709" w:leader="none"/>
        </w:tabs>
        <w:bidi w:val="0"/>
        <w:spacing w:before="0" w:after="0"/>
        <w:ind w:hanging="283" w:left="709"/>
        <w:jc w:val="left"/>
        <w:rPr/>
      </w:pPr>
      <w:r>
        <w:rPr/>
        <w:t xml:space="preserve">whether one root, many roots, or federated trust lists should dominate </w:t>
      </w:r>
    </w:p>
    <w:p>
      <w:pPr>
        <w:pStyle w:val="BodyText"/>
        <w:numPr>
          <w:ilvl w:val="0"/>
          <w:numId w:val="37"/>
        </w:numPr>
        <w:tabs>
          <w:tab w:val="clear" w:pos="1134"/>
          <w:tab w:val="left" w:pos="709" w:leader="none"/>
        </w:tabs>
        <w:bidi w:val="0"/>
        <w:spacing w:before="0" w:after="0"/>
        <w:ind w:hanging="283" w:left="709"/>
        <w:jc w:val="left"/>
        <w:rPr/>
      </w:pPr>
      <w:r>
        <w:rPr/>
        <w:t xml:space="preserve">how cross-jurisdiction disputes, fraud, and reassignment are handled </w:t>
      </w:r>
    </w:p>
    <w:p>
      <w:pPr>
        <w:pStyle w:val="BodyText"/>
        <w:numPr>
          <w:ilvl w:val="0"/>
          <w:numId w:val="37"/>
        </w:numPr>
        <w:tabs>
          <w:tab w:val="clear" w:pos="1134"/>
          <w:tab w:val="left" w:pos="709" w:leader="none"/>
        </w:tabs>
        <w:bidi w:val="0"/>
        <w:spacing w:before="0" w:after="0"/>
        <w:ind w:hanging="283" w:left="709"/>
        <w:jc w:val="left"/>
        <w:rPr/>
      </w:pPr>
      <w:r>
        <w:rPr/>
        <w:t xml:space="preserve">how public transparency avoids creating unnecessary surveillance or correlation risk </w:t>
      </w:r>
    </w:p>
    <w:p>
      <w:pPr>
        <w:pStyle w:val="BodyText"/>
        <w:numPr>
          <w:ilvl w:val="0"/>
          <w:numId w:val="37"/>
        </w:numPr>
        <w:tabs>
          <w:tab w:val="clear" w:pos="1134"/>
          <w:tab w:val="left" w:pos="709" w:leader="none"/>
        </w:tabs>
        <w:bidi w:val="0"/>
        <w:spacing w:before="0" w:after="0"/>
        <w:ind w:hanging="283" w:left="709"/>
        <w:jc w:val="left"/>
        <w:rPr/>
      </w:pPr>
      <w:r>
        <w:rPr/>
        <w:t xml:space="preserve">how small issuers, open-source communities, and public-interest organizations participate affordably </w:t>
      </w:r>
    </w:p>
    <w:p>
      <w:pPr>
        <w:pStyle w:val="BodyText"/>
        <w:numPr>
          <w:ilvl w:val="0"/>
          <w:numId w:val="37"/>
        </w:numPr>
        <w:tabs>
          <w:tab w:val="clear" w:pos="1134"/>
          <w:tab w:val="left" w:pos="709" w:leader="none"/>
        </w:tabs>
        <w:bidi w:val="0"/>
        <w:spacing w:before="0" w:after="0"/>
        <w:ind w:hanging="283" w:left="709"/>
        <w:jc w:val="left"/>
        <w:rPr/>
      </w:pPr>
      <w:r>
        <w:rPr/>
        <w:t xml:space="preserve">how sector overlays and badge vocabularies are governed without fragmentation </w:t>
      </w:r>
    </w:p>
    <w:p>
      <w:pPr>
        <w:pStyle w:val="BodyText"/>
        <w:numPr>
          <w:ilvl w:val="0"/>
          <w:numId w:val="37"/>
        </w:numPr>
        <w:tabs>
          <w:tab w:val="clear" w:pos="1134"/>
          <w:tab w:val="left" w:pos="709" w:leader="none"/>
        </w:tabs>
        <w:bidi w:val="0"/>
        <w:ind w:hanging="283" w:left="709"/>
        <w:jc w:val="left"/>
        <w:rPr/>
      </w:pPr>
      <w:r>
        <w:rPr/>
        <w:t xml:space="preserve">how platform migrations, mergers, or provider changes preserve durable identity </w:t>
      </w:r>
    </w:p>
    <w:p>
      <w:pPr>
        <w:pStyle w:val="BodyText"/>
        <w:bidi w:val="0"/>
        <w:jc w:val="left"/>
        <w:rPr/>
      </w:pPr>
      <w:r>
        <w:rPr/>
        <w:t>These open questions do not block private or early federated adoption. They do, however, matter for credible global public operation.</w:t>
      </w:r>
    </w:p>
    <w:p>
      <w:pPr>
        <w:pStyle w:val="Heading3"/>
        <w:bidi w:val="0"/>
        <w:jc w:val="left"/>
        <w:rPr/>
      </w:pPr>
      <w:r>
        <w:rPr/>
        <w:t>6.15 Optional Decentralized Portability Profile</w:t>
      </w:r>
    </w:p>
    <w:p>
      <w:pPr>
        <w:pStyle w:val="BodyText"/>
        <w:bidi w:val="0"/>
        <w:jc w:val="left"/>
        <w:rPr/>
      </w:pPr>
      <w:r>
        <w:rPr>
          <w:rStyle w:val="SourceText"/>
        </w:rPr>
        <w:t>GAID</w:t>
      </w:r>
      <w:r>
        <w:rPr/>
        <w:t xml:space="preserve"> </w:t>
      </w:r>
      <w:r>
        <w:rPr>
          <w:rStyle w:val="SourceText"/>
        </w:rPr>
        <w:t>MAY</w:t>
      </w:r>
      <w:r>
        <w:rPr/>
        <w:t xml:space="preserve"> support a decentralized portability profile using </w:t>
      </w:r>
      <w:r>
        <w:rPr>
          <w:rStyle w:val="SourceText"/>
        </w:rPr>
        <w:t>VC</w:t>
      </w:r>
      <w:r>
        <w:rPr/>
        <w:t xml:space="preserve">, </w:t>
      </w:r>
      <w:r>
        <w:rPr>
          <w:rStyle w:val="SourceText"/>
        </w:rPr>
        <w:t>DID</w:t>
      </w:r>
      <w:r>
        <w:rPr/>
        <w:t>, or another recognized controlled-identifier model.</w:t>
      </w:r>
    </w:p>
    <w:p>
      <w:pPr>
        <w:pStyle w:val="BodyText"/>
        <w:bidi w:val="0"/>
        <w:jc w:val="left"/>
        <w:rPr/>
      </w:pPr>
      <w:r>
        <w:rPr/>
        <w:t>If such a profile is used:</w:t>
      </w:r>
    </w:p>
    <w:p>
      <w:pPr>
        <w:pStyle w:val="BodyText"/>
        <w:numPr>
          <w:ilvl w:val="0"/>
          <w:numId w:val="38"/>
        </w:numPr>
        <w:tabs>
          <w:tab w:val="clear" w:pos="1134"/>
          <w:tab w:val="left" w:pos="709" w:leader="none"/>
        </w:tabs>
        <w:bidi w:val="0"/>
        <w:spacing w:before="0" w:after="0"/>
        <w:ind w:hanging="283" w:left="709"/>
        <w:jc w:val="left"/>
        <w:rPr/>
      </w:pPr>
      <w:r>
        <w:rPr/>
        <w:t xml:space="preserve">the core </w:t>
      </w:r>
      <w:r>
        <w:rPr>
          <w:rStyle w:val="SourceText"/>
        </w:rPr>
        <w:t>GAID</w:t>
      </w:r>
      <w:r>
        <w:rPr/>
        <w:t xml:space="preserve"> semantics </w:t>
      </w:r>
      <w:r>
        <w:rPr>
          <w:rStyle w:val="SourceText"/>
        </w:rPr>
        <w:t>MUST</w:t>
      </w:r>
      <w:r>
        <w:rPr/>
        <w:t xml:space="preserve"> remain unchanged </w:t>
      </w:r>
    </w:p>
    <w:p>
      <w:pPr>
        <w:pStyle w:val="BodyText"/>
        <w:numPr>
          <w:ilvl w:val="0"/>
          <w:numId w:val="38"/>
        </w:numPr>
        <w:tabs>
          <w:tab w:val="clear" w:pos="1134"/>
          <w:tab w:val="left" w:pos="709" w:leader="none"/>
        </w:tabs>
        <w:bidi w:val="0"/>
        <w:spacing w:before="0" w:after="0"/>
        <w:ind w:hanging="283" w:left="709"/>
        <w:jc w:val="left"/>
        <w:rPr/>
      </w:pPr>
      <w:r>
        <w:rPr/>
        <w:t xml:space="preserve">sensitive or rapidly changing operating metadata </w:t>
      </w:r>
      <w:r>
        <w:rPr>
          <w:rStyle w:val="SourceText"/>
        </w:rPr>
        <w:t>SHOULD NOT</w:t>
      </w:r>
      <w:r>
        <w:rPr/>
        <w:t xml:space="preserve"> be forced into an immutable public ledger </w:t>
      </w:r>
    </w:p>
    <w:p>
      <w:pPr>
        <w:pStyle w:val="BodyText"/>
        <w:numPr>
          <w:ilvl w:val="0"/>
          <w:numId w:val="38"/>
        </w:numPr>
        <w:tabs>
          <w:tab w:val="clear" w:pos="1134"/>
          <w:tab w:val="left" w:pos="709" w:leader="none"/>
        </w:tabs>
        <w:bidi w:val="0"/>
        <w:spacing w:before="0" w:after="0"/>
        <w:ind w:hanging="283" w:left="709"/>
        <w:jc w:val="left"/>
        <w:rPr/>
      </w:pPr>
      <w:r>
        <w:rPr/>
        <w:t xml:space="preserve">off-chain status, receipt, and evidence services </w:t>
      </w:r>
      <w:r>
        <w:rPr>
          <w:rStyle w:val="SourceText"/>
        </w:rPr>
        <w:t>MAY</w:t>
      </w:r>
      <w:r>
        <w:rPr/>
        <w:t xml:space="preserve"> still remain necessary </w:t>
      </w:r>
    </w:p>
    <w:p>
      <w:pPr>
        <w:pStyle w:val="BodyText"/>
        <w:numPr>
          <w:ilvl w:val="0"/>
          <w:numId w:val="38"/>
        </w:numPr>
        <w:tabs>
          <w:tab w:val="clear" w:pos="1134"/>
          <w:tab w:val="left" w:pos="709" w:leader="none"/>
        </w:tabs>
        <w:bidi w:val="0"/>
        <w:ind w:hanging="283" w:left="709"/>
        <w:jc w:val="left"/>
        <w:rPr/>
      </w:pPr>
      <w:r>
        <w:rPr/>
        <w:t xml:space="preserve">ledger or registry anchoring </w:t>
      </w:r>
      <w:r>
        <w:rPr>
          <w:rStyle w:val="SourceText"/>
        </w:rPr>
        <w:t>SHOULD</w:t>
      </w:r>
      <w:r>
        <w:rPr/>
        <w:t xml:space="preserve"> be used primarily for proof commitments, status references, or key material rather than for full public disclosure of agent internals </w:t>
      </w:r>
    </w:p>
    <w:p>
      <w:pPr>
        <w:pStyle w:val="Heading3"/>
        <w:bidi w:val="0"/>
        <w:jc w:val="left"/>
        <w:rPr/>
      </w:pPr>
      <w:r>
        <w:rPr/>
        <w:t>6.16 Bootstrap and Recognition Path</w:t>
      </w:r>
    </w:p>
    <w:p>
      <w:pPr>
        <w:pStyle w:val="BodyText"/>
        <w:bidi w:val="0"/>
        <w:jc w:val="left"/>
        <w:rPr/>
      </w:pPr>
      <w:r>
        <w:rPr/>
        <w:t xml:space="preserve">Early public </w:t>
      </w:r>
      <w:r>
        <w:rPr>
          <w:rStyle w:val="SourceText"/>
        </w:rPr>
        <w:t>GAID</w:t>
      </w:r>
      <w:r>
        <w:rPr/>
        <w:t xml:space="preserve"> ecosystems </w:t>
      </w:r>
      <w:r>
        <w:rPr>
          <w:rStyle w:val="SourceText"/>
        </w:rPr>
        <w:t>SHOULD</w:t>
      </w:r>
      <w:r>
        <w:rPr/>
        <w:t xml:space="preserve"> support a bootstrap model in which:</w:t>
      </w:r>
    </w:p>
    <w:p>
      <w:pPr>
        <w:pStyle w:val="BodyText"/>
        <w:numPr>
          <w:ilvl w:val="0"/>
          <w:numId w:val="39"/>
        </w:numPr>
        <w:tabs>
          <w:tab w:val="clear" w:pos="1134"/>
          <w:tab w:val="left" w:pos="709" w:leader="none"/>
        </w:tabs>
        <w:bidi w:val="0"/>
        <w:spacing w:before="0" w:after="0"/>
        <w:ind w:hanging="283" w:left="709"/>
        <w:jc w:val="left"/>
        <w:rPr/>
      </w:pPr>
      <w:r>
        <w:rPr/>
        <w:t xml:space="preserve">organizations or sector alliances publish mutual-recognition trust lists </w:t>
      </w:r>
    </w:p>
    <w:p>
      <w:pPr>
        <w:pStyle w:val="BodyText"/>
        <w:numPr>
          <w:ilvl w:val="0"/>
          <w:numId w:val="39"/>
        </w:numPr>
        <w:tabs>
          <w:tab w:val="clear" w:pos="1134"/>
          <w:tab w:val="left" w:pos="709" w:leader="none"/>
        </w:tabs>
        <w:bidi w:val="0"/>
        <w:spacing w:before="0" w:after="0"/>
        <w:ind w:hanging="283" w:left="709"/>
        <w:jc w:val="left"/>
        <w:rPr/>
      </w:pPr>
      <w:r>
        <w:rPr/>
        <w:t xml:space="preserve">recognized issuers publish their validation material, status endpoints, and policy references </w:t>
      </w:r>
    </w:p>
    <w:p>
      <w:pPr>
        <w:pStyle w:val="BodyText"/>
        <w:numPr>
          <w:ilvl w:val="0"/>
          <w:numId w:val="39"/>
        </w:numPr>
        <w:tabs>
          <w:tab w:val="clear" w:pos="1134"/>
          <w:tab w:val="left" w:pos="709" w:leader="none"/>
        </w:tabs>
        <w:bidi w:val="0"/>
        <w:ind w:hanging="283" w:left="709"/>
        <w:jc w:val="left"/>
        <w:rPr/>
      </w:pPr>
      <w:r>
        <w:rPr/>
        <w:t xml:space="preserve">relying parties can adopt one or more roots or trust lists without waiting for a single global authority </w:t>
      </w:r>
    </w:p>
    <w:p>
      <w:pPr>
        <w:pStyle w:val="BodyText"/>
        <w:bidi w:val="0"/>
        <w:jc w:val="left"/>
        <w:rPr/>
      </w:pPr>
      <w:r>
        <w:rPr/>
        <w:t>This mirrors the way durable trust systems often mature in practice: through interoperable recognition and policy alignment first, and tighter accreditation convergence later.</w:t>
      </w:r>
    </w:p>
    <w:p>
      <w:pPr>
        <w:pStyle w:val="Heading2"/>
        <w:bidi w:val="0"/>
        <w:jc w:val="left"/>
        <w:rPr/>
      </w:pPr>
      <w:r>
        <w:rPr/>
        <w:t>7. Agent Identity Document (AIDoc)</w:t>
      </w:r>
    </w:p>
    <w:p>
      <w:pPr>
        <w:pStyle w:val="Heading3"/>
        <w:bidi w:val="0"/>
        <w:jc w:val="left"/>
        <w:rPr/>
      </w:pPr>
      <w:r>
        <w:rPr/>
        <w:t>7.1 Core Requirement</w:t>
      </w:r>
    </w:p>
    <w:p>
      <w:pPr>
        <w:pStyle w:val="BodyText"/>
        <w:bidi w:val="0"/>
        <w:jc w:val="left"/>
        <w:rPr/>
      </w:pPr>
      <w:r>
        <w:rPr/>
        <w:t xml:space="preserve">Every conforming </w:t>
      </w:r>
      <w:r>
        <w:rPr>
          <w:rStyle w:val="SourceText"/>
        </w:rPr>
        <w:t>GAID</w:t>
      </w:r>
      <w:r>
        <w:rPr/>
        <w:t xml:space="preserve"> implementation </w:t>
      </w:r>
      <w:r>
        <w:rPr>
          <w:rStyle w:val="SourceText"/>
        </w:rPr>
        <w:t>MUST</w:t>
      </w:r>
      <w:r>
        <w:rPr/>
        <w:t xml:space="preserve"> provide an </w:t>
      </w:r>
      <w:r>
        <w:rPr>
          <w:rStyle w:val="SourceText"/>
        </w:rPr>
        <w:t>AIDoc</w:t>
      </w:r>
      <w:r>
        <w:rPr/>
        <w:t xml:space="preserve"> for each issued agent identity.</w:t>
      </w:r>
    </w:p>
    <w:p>
      <w:pPr>
        <w:pStyle w:val="BodyText"/>
        <w:bidi w:val="0"/>
        <w:jc w:val="left"/>
        <w:rPr/>
      </w:pPr>
      <w:r>
        <w:rPr/>
        <w:t xml:space="preserve">The </w:t>
      </w:r>
      <w:r>
        <w:rPr>
          <w:rStyle w:val="SourceText"/>
        </w:rPr>
        <w:t>AIDoc</w:t>
      </w:r>
      <w:r>
        <w:rPr/>
        <w:t>:</w:t>
      </w:r>
    </w:p>
    <w:p>
      <w:pPr>
        <w:pStyle w:val="BodyText"/>
        <w:numPr>
          <w:ilvl w:val="0"/>
          <w:numId w:val="40"/>
        </w:numPr>
        <w:tabs>
          <w:tab w:val="clear" w:pos="1134"/>
          <w:tab w:val="left" w:pos="709" w:leader="none"/>
        </w:tabs>
        <w:bidi w:val="0"/>
        <w:spacing w:before="0" w:after="0"/>
        <w:ind w:hanging="283" w:left="709"/>
        <w:jc w:val="left"/>
        <w:rPr/>
      </w:pPr>
      <w:r>
        <w:rPr>
          <w:rStyle w:val="SourceText"/>
        </w:rPr>
        <w:t>MUST</w:t>
      </w:r>
      <w:r>
        <w:rPr/>
        <w:t xml:space="preserve"> be structured and machine-readable </w:t>
      </w:r>
    </w:p>
    <w:p>
      <w:pPr>
        <w:pStyle w:val="BodyText"/>
        <w:numPr>
          <w:ilvl w:val="0"/>
          <w:numId w:val="40"/>
        </w:numPr>
        <w:tabs>
          <w:tab w:val="clear" w:pos="1134"/>
          <w:tab w:val="left" w:pos="709" w:leader="none"/>
        </w:tabs>
        <w:bidi w:val="0"/>
        <w:spacing w:before="0" w:after="0"/>
        <w:ind w:hanging="283" w:left="709"/>
        <w:jc w:val="left"/>
        <w:rPr/>
      </w:pPr>
      <w:r>
        <w:rPr>
          <w:rStyle w:val="SourceText"/>
        </w:rPr>
        <w:t>MUST</w:t>
      </w:r>
      <w:r>
        <w:rPr/>
        <w:t xml:space="preserve"> be signed or otherwise cryptographically protected </w:t>
      </w:r>
    </w:p>
    <w:p>
      <w:pPr>
        <w:pStyle w:val="BodyText"/>
        <w:numPr>
          <w:ilvl w:val="0"/>
          <w:numId w:val="40"/>
        </w:numPr>
        <w:tabs>
          <w:tab w:val="clear" w:pos="1134"/>
          <w:tab w:val="left" w:pos="709" w:leader="none"/>
        </w:tabs>
        <w:bidi w:val="0"/>
        <w:spacing w:before="0" w:after="0"/>
        <w:ind w:hanging="283" w:left="709"/>
        <w:jc w:val="left"/>
        <w:rPr/>
      </w:pPr>
      <w:r>
        <w:rPr>
          <w:rStyle w:val="SourceText"/>
        </w:rPr>
        <w:t>MUST</w:t>
      </w:r>
      <w:r>
        <w:rPr/>
        <w:t xml:space="preserve"> represent current status </w:t>
      </w:r>
    </w:p>
    <w:p>
      <w:pPr>
        <w:pStyle w:val="BodyText"/>
        <w:numPr>
          <w:ilvl w:val="0"/>
          <w:numId w:val="40"/>
        </w:numPr>
        <w:tabs>
          <w:tab w:val="clear" w:pos="1134"/>
          <w:tab w:val="left" w:pos="709" w:leader="none"/>
        </w:tabs>
        <w:bidi w:val="0"/>
        <w:spacing w:before="0" w:after="0"/>
        <w:ind w:hanging="283" w:left="709"/>
        <w:jc w:val="left"/>
        <w:rPr/>
      </w:pPr>
      <w:r>
        <w:rPr>
          <w:rStyle w:val="SourceText"/>
        </w:rPr>
        <w:t>MUST</w:t>
      </w:r>
      <w:r>
        <w:rPr/>
        <w:t xml:space="preserve"> identify the issuer </w:t>
      </w:r>
    </w:p>
    <w:p>
      <w:pPr>
        <w:pStyle w:val="BodyText"/>
        <w:numPr>
          <w:ilvl w:val="0"/>
          <w:numId w:val="40"/>
        </w:numPr>
        <w:tabs>
          <w:tab w:val="clear" w:pos="1134"/>
          <w:tab w:val="left" w:pos="709" w:leader="none"/>
        </w:tabs>
        <w:bidi w:val="0"/>
        <w:ind w:hanging="283" w:left="709"/>
        <w:jc w:val="left"/>
        <w:rPr/>
      </w:pPr>
      <w:r>
        <w:rPr>
          <w:rStyle w:val="SourceText"/>
        </w:rPr>
        <w:t>MUST</w:t>
      </w:r>
      <w:r>
        <w:rPr/>
        <w:t xml:space="preserve"> disclose the operating surface relevant to relying-party trust </w:t>
      </w:r>
    </w:p>
    <w:p>
      <w:pPr>
        <w:pStyle w:val="BodyText"/>
        <w:bidi w:val="0"/>
        <w:jc w:val="left"/>
        <w:rPr/>
      </w:pPr>
      <w:r>
        <w:rPr/>
        <w:t xml:space="preserve">The </w:t>
      </w:r>
      <w:r>
        <w:rPr>
          <w:rStyle w:val="SourceText"/>
        </w:rPr>
        <w:t>AIDoc</w:t>
      </w:r>
      <w:r>
        <w:rPr/>
        <w:t xml:space="preserve"> </w:t>
      </w:r>
      <w:r>
        <w:rPr>
          <w:rStyle w:val="SourceText"/>
        </w:rPr>
        <w:t>MAY</w:t>
      </w:r>
      <w:r>
        <w:rPr/>
        <w:t xml:space="preserve"> be represented in JSON, JSON-LD, or another interoperable encoding, provided the semantics in this standard are preserved.</w:t>
      </w:r>
    </w:p>
    <w:p>
      <w:pPr>
        <w:pStyle w:val="BodyText"/>
        <w:bidi w:val="0"/>
        <w:jc w:val="left"/>
        <w:rPr/>
      </w:pPr>
      <w:r>
        <w:rPr/>
        <w:drawing>
          <wp:inline distT="0" distB="0" distL="0" distR="0">
            <wp:extent cx="22402800" cy="18545175"/>
            <wp:effectExtent l="0" t="0" r="0" b="0"/>
            <wp:docPr id="3" name="Image3" descr="AIDoc re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AIDoc resolution"/>
                    <pic:cNvPicPr>
                      <a:picLocks noChangeAspect="1" noChangeArrowheads="1"/>
                    </pic:cNvPicPr>
                  </pic:nvPicPr>
                  <pic:blipFill>
                    <a:blip r:embed="rId66"/>
                    <a:stretch>
                      <a:fillRect/>
                    </a:stretch>
                  </pic:blipFill>
                  <pic:spPr bwMode="auto">
                    <a:xfrm>
                      <a:off x="0" y="0"/>
                      <a:ext cx="22402800" cy="18545175"/>
                    </a:xfrm>
                    <a:prstGeom prst="rect">
                      <a:avLst/>
                    </a:prstGeom>
                    <a:noFill/>
                  </pic:spPr>
                </pic:pic>
              </a:graphicData>
            </a:graphic>
          </wp:inline>
        </w:drawing>
      </w:r>
    </w:p>
    <w:p>
      <w:pPr>
        <w:pStyle w:val="BodyText"/>
        <w:bidi w:val="0"/>
        <w:jc w:val="left"/>
        <w:rPr/>
      </w:pPr>
      <w:r>
        <w:rPr>
          <w:rStyle w:val="Emphasis"/>
        </w:rPr>
        <w:t>Figure 3. Public trust depends on being able to resolve an agent identifier into current, signed identity metadata.</w:t>
      </w:r>
    </w:p>
    <w:p>
      <w:pPr>
        <w:pStyle w:val="Heading3"/>
        <w:bidi w:val="0"/>
        <w:jc w:val="left"/>
        <w:rPr/>
      </w:pPr>
      <w:r>
        <w:rPr/>
        <w:t>7.2 Minimum AIDoc Fields</w:t>
      </w:r>
    </w:p>
    <w:p>
      <w:pPr>
        <w:pStyle w:val="BodyText"/>
        <w:bidi w:val="0"/>
        <w:jc w:val="left"/>
        <w:rPr/>
      </w:pPr>
      <w:r>
        <w:rPr/>
        <w:t xml:space="preserve">At minimum, an </w:t>
      </w:r>
      <w:r>
        <w:rPr>
          <w:rStyle w:val="SourceText"/>
        </w:rPr>
        <w:t>AIDoc</w:t>
      </w:r>
      <w:r>
        <w:rPr/>
        <w:t xml:space="preserve"> </w:t>
      </w:r>
      <w:r>
        <w:rPr>
          <w:rStyle w:val="SourceText"/>
        </w:rPr>
        <w:t>MUST</w:t>
      </w:r>
      <w:r>
        <w:rPr/>
        <w:t xml:space="preserve"> contain the following fields:</w:t>
      </w:r>
    </w:p>
    <w:tbl>
      <w:tblPr>
        <w:tblW w:w="19007" w:type="dxa"/>
        <w:jc w:val="left"/>
        <w:tblInd w:w="0" w:type="dxa"/>
        <w:tblLayout w:type="fixed"/>
        <w:tblCellMar>
          <w:top w:w="28" w:type="dxa"/>
          <w:left w:w="28" w:type="dxa"/>
          <w:bottom w:w="28" w:type="dxa"/>
          <w:right w:w="28" w:type="dxa"/>
        </w:tblCellMar>
      </w:tblPr>
      <w:tblGrid>
        <w:gridCol w:w="4297"/>
        <w:gridCol w:w="4424"/>
        <w:gridCol w:w="10286"/>
      </w:tblGrid>
      <w:tr>
        <w:trPr>
          <w:tblHeader w:val="true"/>
        </w:trPr>
        <w:tc>
          <w:tcPr>
            <w:tcW w:w="4297" w:type="dxa"/>
            <w:tcBorders/>
            <w:vAlign w:val="center"/>
          </w:tcPr>
          <w:p>
            <w:pPr>
              <w:pStyle w:val="TableHeading"/>
              <w:suppressLineNumbers/>
              <w:bidi w:val="0"/>
              <w:spacing w:before="0" w:after="283"/>
              <w:jc w:val="center"/>
              <w:rPr/>
            </w:pPr>
            <w:r>
              <w:rPr/>
              <w:t>Field</w:t>
            </w:r>
          </w:p>
        </w:tc>
        <w:tc>
          <w:tcPr>
            <w:tcW w:w="4424" w:type="dxa"/>
            <w:tcBorders/>
            <w:vAlign w:val="center"/>
          </w:tcPr>
          <w:p>
            <w:pPr>
              <w:pStyle w:val="TableHeading"/>
              <w:suppressLineNumbers/>
              <w:bidi w:val="0"/>
              <w:spacing w:before="0" w:after="283"/>
              <w:jc w:val="center"/>
              <w:rPr/>
            </w:pPr>
            <w:r>
              <w:rPr/>
              <w:t>Requirement</w:t>
            </w:r>
          </w:p>
        </w:tc>
        <w:tc>
          <w:tcPr>
            <w:tcW w:w="10286" w:type="dxa"/>
            <w:tcBorders/>
            <w:vAlign w:val="center"/>
          </w:tcPr>
          <w:p>
            <w:pPr>
              <w:pStyle w:val="TableHeading"/>
              <w:suppressLineNumbers/>
              <w:bidi w:val="0"/>
              <w:spacing w:before="0" w:after="283"/>
              <w:jc w:val="center"/>
              <w:rPr/>
            </w:pPr>
            <w:r>
              <w:rPr/>
              <w:t>Purpose</w:t>
            </w:r>
          </w:p>
        </w:tc>
      </w:tr>
      <w:tr>
        <w:trPr/>
        <w:tc>
          <w:tcPr>
            <w:tcW w:w="4297" w:type="dxa"/>
            <w:tcBorders/>
            <w:vAlign w:val="center"/>
          </w:tcPr>
          <w:p>
            <w:pPr>
              <w:pStyle w:val="TableContents"/>
              <w:bidi w:val="0"/>
              <w:spacing w:before="0" w:after="283"/>
              <w:jc w:val="left"/>
              <w:rPr/>
            </w:pPr>
            <w:r>
              <w:rPr>
                <w:rStyle w:val="SourceText"/>
              </w:rPr>
              <w:t>gaid</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Canonical agent identifier</w:t>
            </w:r>
          </w:p>
        </w:tc>
      </w:tr>
      <w:tr>
        <w:trPr/>
        <w:tc>
          <w:tcPr>
            <w:tcW w:w="4297" w:type="dxa"/>
            <w:tcBorders/>
            <w:vAlign w:val="center"/>
          </w:tcPr>
          <w:p>
            <w:pPr>
              <w:pStyle w:val="TableContents"/>
              <w:bidi w:val="0"/>
              <w:spacing w:before="0" w:after="283"/>
              <w:jc w:val="left"/>
              <w:rPr/>
            </w:pPr>
            <w:r>
              <w:rPr>
                <w:rStyle w:val="SourceText"/>
              </w:rPr>
              <w:t>subject_name</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Human-readable agent name</w:t>
            </w:r>
          </w:p>
        </w:tc>
      </w:tr>
      <w:tr>
        <w:trPr/>
        <w:tc>
          <w:tcPr>
            <w:tcW w:w="4297" w:type="dxa"/>
            <w:tcBorders/>
            <w:vAlign w:val="center"/>
          </w:tcPr>
          <w:p>
            <w:pPr>
              <w:pStyle w:val="TableContents"/>
              <w:bidi w:val="0"/>
              <w:spacing w:before="0" w:after="283"/>
              <w:jc w:val="left"/>
              <w:rPr/>
            </w:pPr>
            <w:r>
              <w:rPr>
                <w:rStyle w:val="SourceText"/>
              </w:rPr>
              <w:t>issuer</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Issuer identity and delegation chain</w:t>
            </w:r>
          </w:p>
        </w:tc>
      </w:tr>
      <w:tr>
        <w:trPr/>
        <w:tc>
          <w:tcPr>
            <w:tcW w:w="4297" w:type="dxa"/>
            <w:tcBorders/>
            <w:vAlign w:val="center"/>
          </w:tcPr>
          <w:p>
            <w:pPr>
              <w:pStyle w:val="TableContents"/>
              <w:bidi w:val="0"/>
              <w:spacing w:before="0" w:after="283"/>
              <w:jc w:val="left"/>
              <w:rPr/>
            </w:pPr>
            <w:r>
              <w:rPr>
                <w:rStyle w:val="SourceText"/>
              </w:rPr>
              <w:t>status</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Current lifecycle status</w:t>
            </w:r>
          </w:p>
        </w:tc>
      </w:tr>
      <w:tr>
        <w:trPr/>
        <w:tc>
          <w:tcPr>
            <w:tcW w:w="4297" w:type="dxa"/>
            <w:tcBorders/>
            <w:vAlign w:val="center"/>
          </w:tcPr>
          <w:p>
            <w:pPr>
              <w:pStyle w:val="TableContents"/>
              <w:bidi w:val="0"/>
              <w:spacing w:before="0" w:after="283"/>
              <w:jc w:val="left"/>
              <w:rPr/>
            </w:pPr>
            <w:r>
              <w:rPr>
                <w:rStyle w:val="SourceText"/>
              </w:rPr>
              <w:t>subject_type</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Coordinator, specialist, assistant, service agent, or equivalent</w:t>
            </w:r>
          </w:p>
        </w:tc>
      </w:tr>
      <w:tr>
        <w:trPr/>
        <w:tc>
          <w:tcPr>
            <w:tcW w:w="4297" w:type="dxa"/>
            <w:tcBorders/>
            <w:vAlign w:val="center"/>
          </w:tcPr>
          <w:p>
            <w:pPr>
              <w:pStyle w:val="TableContents"/>
              <w:bidi w:val="0"/>
              <w:spacing w:before="0" w:after="283"/>
              <w:jc w:val="left"/>
              <w:rPr/>
            </w:pPr>
            <w:r>
              <w:rPr>
                <w:rStyle w:val="SourceText"/>
              </w:rPr>
              <w:t>owner_organization</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Organizational owner or controlling entity</w:t>
            </w:r>
          </w:p>
        </w:tc>
      </w:tr>
      <w:tr>
        <w:trPr/>
        <w:tc>
          <w:tcPr>
            <w:tcW w:w="4297" w:type="dxa"/>
            <w:tcBorders/>
            <w:vAlign w:val="center"/>
          </w:tcPr>
          <w:p>
            <w:pPr>
              <w:pStyle w:val="TableContents"/>
              <w:bidi w:val="0"/>
              <w:spacing w:before="0" w:after="283"/>
              <w:jc w:val="left"/>
              <w:rPr/>
            </w:pPr>
            <w:r>
              <w:rPr>
                <w:rStyle w:val="SourceText"/>
              </w:rPr>
              <w:t>owner_of_record</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Named accountable owner, sponsor, or steward for the agent subject</w:t>
            </w:r>
          </w:p>
        </w:tc>
      </w:tr>
      <w:tr>
        <w:trPr/>
        <w:tc>
          <w:tcPr>
            <w:tcW w:w="4297" w:type="dxa"/>
            <w:tcBorders/>
            <w:vAlign w:val="center"/>
          </w:tcPr>
          <w:p>
            <w:pPr>
              <w:pStyle w:val="TableContents"/>
              <w:bidi w:val="0"/>
              <w:spacing w:before="0" w:after="283"/>
              <w:jc w:val="left"/>
              <w:rPr/>
            </w:pPr>
            <w:r>
              <w:rPr>
                <w:rStyle w:val="SourceText"/>
              </w:rPr>
              <w:t>responsible_team</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Team or function responsible for operating governance and maintenance</w:t>
            </w:r>
          </w:p>
        </w:tc>
      </w:tr>
      <w:tr>
        <w:trPr/>
        <w:tc>
          <w:tcPr>
            <w:tcW w:w="4297" w:type="dxa"/>
            <w:tcBorders/>
            <w:vAlign w:val="center"/>
          </w:tcPr>
          <w:p>
            <w:pPr>
              <w:pStyle w:val="TableContents"/>
              <w:bidi w:val="0"/>
              <w:spacing w:before="0" w:after="283"/>
              <w:jc w:val="left"/>
              <w:rPr/>
            </w:pPr>
            <w:r>
              <w:rPr>
                <w:rStyle w:val="SourceText"/>
              </w:rPr>
              <w:t>controlling_humans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Human supervisors, sponsors, or approval authorities materially tied to the subject</w:t>
            </w:r>
          </w:p>
        </w:tc>
      </w:tr>
      <w:tr>
        <w:trPr/>
        <w:tc>
          <w:tcPr>
            <w:tcW w:w="4297" w:type="dxa"/>
            <w:tcBorders/>
            <w:vAlign w:val="center"/>
          </w:tcPr>
          <w:p>
            <w:pPr>
              <w:pStyle w:val="TableContents"/>
              <w:bidi w:val="0"/>
              <w:spacing w:before="0" w:after="283"/>
              <w:jc w:val="left"/>
              <w:rPr/>
            </w:pPr>
            <w:r>
              <w:rPr>
                <w:rStyle w:val="SourceText"/>
              </w:rPr>
              <w:t>service_endpoints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Public or internal endpoints through which the agent is reached</w:t>
            </w:r>
          </w:p>
        </w:tc>
      </w:tr>
      <w:tr>
        <w:trPr/>
        <w:tc>
          <w:tcPr>
            <w:tcW w:w="4297" w:type="dxa"/>
            <w:tcBorders/>
            <w:vAlign w:val="center"/>
          </w:tcPr>
          <w:p>
            <w:pPr>
              <w:pStyle w:val="TableContents"/>
              <w:bidi w:val="0"/>
              <w:spacing w:before="0" w:after="283"/>
              <w:jc w:val="left"/>
              <w:rPr/>
            </w:pPr>
            <w:r>
              <w:rPr>
                <w:rStyle w:val="SourceText"/>
              </w:rPr>
              <w:t>exposure_state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Whether the identity is operating in private, federated, or public posture</w:t>
            </w:r>
          </w:p>
        </w:tc>
      </w:tr>
      <w:tr>
        <w:trPr/>
        <w:tc>
          <w:tcPr>
            <w:tcW w:w="4297" w:type="dxa"/>
            <w:tcBorders/>
            <w:vAlign w:val="center"/>
          </w:tcPr>
          <w:p>
            <w:pPr>
              <w:pStyle w:val="TableContents"/>
              <w:bidi w:val="0"/>
              <w:spacing w:before="0" w:after="283"/>
              <w:jc w:val="left"/>
              <w:rPr/>
            </w:pPr>
            <w:r>
              <w:rPr>
                <w:rStyle w:val="SourceText"/>
              </w:rPr>
              <w:t>directory_bindings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 xml:space="preserve">Internal directory or lifecycle projections such as </w:t>
            </w:r>
            <w:r>
              <w:rPr>
                <w:rStyle w:val="SourceText"/>
              </w:rPr>
              <w:t>LDAP</w:t>
            </w:r>
            <w:r>
              <w:rPr/>
              <w:t xml:space="preserve">, </w:t>
            </w:r>
            <w:r>
              <w:rPr>
                <w:rStyle w:val="SourceText"/>
              </w:rPr>
              <w:t>AD</w:t>
            </w:r>
            <w:r>
              <w:rPr/>
              <w:t xml:space="preserve">, </w:t>
            </w:r>
            <w:r>
              <w:rPr>
                <w:rStyle w:val="SourceText"/>
              </w:rPr>
              <w:t>Entra</w:t>
            </w:r>
            <w:r>
              <w:rPr/>
              <w:t xml:space="preserve">, or </w:t>
            </w:r>
            <w:r>
              <w:rPr>
                <w:rStyle w:val="SourceText"/>
              </w:rPr>
              <w:t>SCIM</w:t>
            </w:r>
            <w:r>
              <w:rPr/>
              <w:t xml:space="preserve"> references</w:t>
            </w:r>
          </w:p>
        </w:tc>
      </w:tr>
      <w:tr>
        <w:trPr/>
        <w:tc>
          <w:tcPr>
            <w:tcW w:w="4297" w:type="dxa"/>
            <w:tcBorders/>
            <w:vAlign w:val="center"/>
          </w:tcPr>
          <w:p>
            <w:pPr>
              <w:pStyle w:val="TableContents"/>
              <w:bidi w:val="0"/>
              <w:spacing w:before="0" w:after="283"/>
              <w:jc w:val="left"/>
              <w:rPr/>
            </w:pPr>
            <w:r>
              <w:rPr>
                <w:rStyle w:val="SourceText"/>
              </w:rPr>
              <w:t>versioning</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Agent software or deployment version references</w:t>
            </w:r>
          </w:p>
        </w:tc>
      </w:tr>
      <w:tr>
        <w:trPr/>
        <w:tc>
          <w:tcPr>
            <w:tcW w:w="4297" w:type="dxa"/>
            <w:tcBorders/>
            <w:vAlign w:val="center"/>
          </w:tcPr>
          <w:p>
            <w:pPr>
              <w:pStyle w:val="TableContents"/>
              <w:bidi w:val="0"/>
              <w:spacing w:before="0" w:after="283"/>
              <w:jc w:val="left"/>
              <w:rPr/>
            </w:pPr>
            <w:r>
              <w:rPr>
                <w:rStyle w:val="SourceText"/>
              </w:rPr>
              <w:t>model_binding</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Model family, provider, and version where known</w:t>
            </w:r>
          </w:p>
        </w:tc>
      </w:tr>
      <w:tr>
        <w:trPr/>
        <w:tc>
          <w:tcPr>
            <w:tcW w:w="4297" w:type="dxa"/>
            <w:tcBorders/>
            <w:vAlign w:val="center"/>
          </w:tcPr>
          <w:p>
            <w:pPr>
              <w:pStyle w:val="TableContents"/>
              <w:bidi w:val="0"/>
              <w:spacing w:before="0" w:after="283"/>
              <w:jc w:val="left"/>
              <w:rPr/>
            </w:pPr>
            <w:r>
              <w:rPr>
                <w:rStyle w:val="SourceText"/>
              </w:rPr>
              <w:t>runtime_profile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Runtime type, region, or managed environment references</w:t>
            </w:r>
          </w:p>
        </w:tc>
      </w:tr>
      <w:tr>
        <w:trPr/>
        <w:tc>
          <w:tcPr>
            <w:tcW w:w="4297" w:type="dxa"/>
            <w:tcBorders/>
            <w:vAlign w:val="center"/>
          </w:tcPr>
          <w:p>
            <w:pPr>
              <w:pStyle w:val="TableContents"/>
              <w:bidi w:val="0"/>
              <w:spacing w:before="0" w:after="283"/>
              <w:jc w:val="left"/>
              <w:rPr/>
            </w:pPr>
            <w:r>
              <w:rPr>
                <w:rStyle w:val="SourceText"/>
              </w:rPr>
              <w:t>operating_profile_ref</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Current governed operating profile identifier</w:t>
            </w:r>
          </w:p>
        </w:tc>
      </w:tr>
      <w:tr>
        <w:trPr/>
        <w:tc>
          <w:tcPr>
            <w:tcW w:w="4297" w:type="dxa"/>
            <w:tcBorders/>
            <w:vAlign w:val="center"/>
          </w:tcPr>
          <w:p>
            <w:pPr>
              <w:pStyle w:val="TableContents"/>
              <w:bidi w:val="0"/>
              <w:spacing w:before="0" w:after="283"/>
              <w:jc w:val="left"/>
              <w:rPr/>
            </w:pPr>
            <w:r>
              <w:rPr>
                <w:rStyle w:val="SourceText"/>
              </w:rPr>
              <w:t>operating_profile_fingerprint</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Digest or equivalent marker of the materially relevant operating state</w:t>
            </w:r>
          </w:p>
        </w:tc>
      </w:tr>
      <w:tr>
        <w:trPr/>
        <w:tc>
          <w:tcPr>
            <w:tcW w:w="4297" w:type="dxa"/>
            <w:tcBorders/>
            <w:vAlign w:val="center"/>
          </w:tcPr>
          <w:p>
            <w:pPr>
              <w:pStyle w:val="TableContents"/>
              <w:bidi w:val="0"/>
              <w:spacing w:before="0" w:after="283"/>
              <w:jc w:val="left"/>
              <w:rPr/>
            </w:pPr>
            <w:r>
              <w:rPr>
                <w:rStyle w:val="SourceText"/>
              </w:rPr>
              <w:t>validation_state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Whether the current operating state is validated, stale, pending review, restricted, or revoked</w:t>
            </w:r>
          </w:p>
        </w:tc>
      </w:tr>
      <w:tr>
        <w:trPr/>
        <w:tc>
          <w:tcPr>
            <w:tcW w:w="4297" w:type="dxa"/>
            <w:tcBorders/>
            <w:vAlign w:val="center"/>
          </w:tcPr>
          <w:p>
            <w:pPr>
              <w:pStyle w:val="TableContents"/>
              <w:bidi w:val="0"/>
              <w:spacing w:before="0" w:after="283"/>
              <w:jc w:val="left"/>
              <w:rPr/>
            </w:pPr>
            <w:r>
              <w:rPr>
                <w:rStyle w:val="SourceText"/>
              </w:rPr>
              <w:t>qualification_refs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 xml:space="preserve">Current </w:t>
            </w:r>
            <w:r>
              <w:rPr>
                <w:rStyle w:val="SourceText"/>
              </w:rPr>
              <w:t>TAK-JSI</w:t>
            </w:r>
            <w:r>
              <w:rPr/>
              <w:t xml:space="preserve"> qualification claims, schemes, status, and verifier references</w:t>
            </w:r>
          </w:p>
        </w:tc>
      </w:tr>
      <w:tr>
        <w:trPr/>
        <w:tc>
          <w:tcPr>
            <w:tcW w:w="4297" w:type="dxa"/>
            <w:tcBorders/>
            <w:vAlign w:val="center"/>
          </w:tcPr>
          <w:p>
            <w:pPr>
              <w:pStyle w:val="TableContents"/>
              <w:bidi w:val="0"/>
              <w:spacing w:before="0" w:after="283"/>
              <w:jc w:val="left"/>
              <w:rPr/>
            </w:pPr>
            <w:r>
              <w:rPr>
                <w:rStyle w:val="SourceText"/>
              </w:rPr>
              <w:t>tool_surface</w:t>
            </w:r>
          </w:p>
        </w:tc>
        <w:tc>
          <w:tcPr>
            <w:tcW w:w="4424" w:type="dxa"/>
            <w:tcBorders/>
            <w:vAlign w:val="center"/>
          </w:tcPr>
          <w:p>
            <w:pPr>
              <w:pStyle w:val="TableContents"/>
              <w:bidi w:val="0"/>
              <w:spacing w:before="0" w:after="283"/>
              <w:jc w:val="left"/>
              <w:rPr/>
            </w:pPr>
            <w:r>
              <w:rPr>
                <w:rStyle w:val="SourceText"/>
              </w:rPr>
              <w:t>MUST</w:t>
            </w:r>
          </w:p>
        </w:tc>
        <w:tc>
          <w:tcPr>
            <w:tcW w:w="10286" w:type="dxa"/>
            <w:tcBorders/>
            <w:vAlign w:val="center"/>
          </w:tcPr>
          <w:p>
            <w:pPr>
              <w:pStyle w:val="TableContents"/>
              <w:bidi w:val="0"/>
              <w:spacing w:before="0" w:after="283"/>
              <w:jc w:val="left"/>
              <w:rPr/>
            </w:pPr>
            <w:r>
              <w:rPr/>
              <w:t>Declared tools, connectors, or protocol surfaces</w:t>
            </w:r>
          </w:p>
        </w:tc>
      </w:tr>
      <w:tr>
        <w:trPr/>
        <w:tc>
          <w:tcPr>
            <w:tcW w:w="4297" w:type="dxa"/>
            <w:tcBorders/>
            <w:vAlign w:val="center"/>
          </w:tcPr>
          <w:p>
            <w:pPr>
              <w:pStyle w:val="TableContents"/>
              <w:bidi w:val="0"/>
              <w:spacing w:before="0" w:after="283"/>
              <w:jc w:val="left"/>
              <w:rPr/>
            </w:pPr>
            <w:r>
              <w:rPr>
                <w:rStyle w:val="SourceText"/>
              </w:rPr>
              <w:t>skill_surface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Declared skills, capabilities, or specialized repertoires</w:t>
            </w:r>
          </w:p>
        </w:tc>
      </w:tr>
      <w:tr>
        <w:trPr/>
        <w:tc>
          <w:tcPr>
            <w:tcW w:w="4297" w:type="dxa"/>
            <w:tcBorders/>
            <w:vAlign w:val="center"/>
          </w:tcPr>
          <w:p>
            <w:pPr>
              <w:pStyle w:val="TableContents"/>
              <w:bidi w:val="0"/>
              <w:spacing w:before="0" w:after="283"/>
              <w:jc w:val="left"/>
              <w:rPr/>
            </w:pPr>
            <w:r>
              <w:rPr>
                <w:rStyle w:val="SourceText"/>
              </w:rPr>
              <w:t>prompt_surface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Prompt or instruction classes, including immutable or hidden instruction disclosures by class or hash</w:t>
            </w:r>
          </w:p>
        </w:tc>
      </w:tr>
      <w:tr>
        <w:trPr/>
        <w:tc>
          <w:tcPr>
            <w:tcW w:w="4297" w:type="dxa"/>
            <w:tcBorders/>
            <w:vAlign w:val="center"/>
          </w:tcPr>
          <w:p>
            <w:pPr>
              <w:pStyle w:val="TableContents"/>
              <w:bidi w:val="0"/>
              <w:spacing w:before="0" w:after="283"/>
              <w:jc w:val="left"/>
              <w:rPr/>
            </w:pPr>
            <w:r>
              <w:rPr>
                <w:rStyle w:val="SourceText"/>
              </w:rPr>
              <w:t>memory_profile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Durable memory characteristics and retention posture</w:t>
            </w:r>
          </w:p>
        </w:tc>
      </w:tr>
      <w:tr>
        <w:trPr/>
        <w:tc>
          <w:tcPr>
            <w:tcW w:w="4297" w:type="dxa"/>
            <w:tcBorders/>
            <w:vAlign w:val="center"/>
          </w:tcPr>
          <w:p>
            <w:pPr>
              <w:pStyle w:val="TableContents"/>
              <w:bidi w:val="0"/>
              <w:spacing w:before="0" w:after="283"/>
              <w:jc w:val="left"/>
              <w:rPr/>
            </w:pPr>
            <w:r>
              <w:rPr>
                <w:rStyle w:val="SourceText"/>
              </w:rPr>
              <w:t>hitl_profile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Default oversight or approval posture</w:t>
            </w:r>
          </w:p>
        </w:tc>
      </w:tr>
      <w:tr>
        <w:trPr/>
        <w:tc>
          <w:tcPr>
            <w:tcW w:w="4297" w:type="dxa"/>
            <w:tcBorders/>
            <w:vAlign w:val="center"/>
          </w:tcPr>
          <w:p>
            <w:pPr>
              <w:pStyle w:val="TableContents"/>
              <w:bidi w:val="0"/>
              <w:spacing w:before="0" w:after="283"/>
              <w:jc w:val="left"/>
              <w:rPr/>
            </w:pPr>
            <w:r>
              <w:rPr>
                <w:rStyle w:val="SourceText"/>
              </w:rPr>
              <w:t>data_sensitivity_profile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Declared data handling and sensitivity scope</w:t>
            </w:r>
          </w:p>
        </w:tc>
      </w:tr>
      <w:tr>
        <w:trPr/>
        <w:tc>
          <w:tcPr>
            <w:tcW w:w="4297" w:type="dxa"/>
            <w:tcBorders/>
            <w:vAlign w:val="center"/>
          </w:tcPr>
          <w:p>
            <w:pPr>
              <w:pStyle w:val="TableContents"/>
              <w:bidi w:val="0"/>
              <w:spacing w:before="0" w:after="283"/>
              <w:jc w:val="left"/>
              <w:rPr/>
            </w:pPr>
            <w:r>
              <w:rPr>
                <w:rStyle w:val="SourceText"/>
              </w:rPr>
              <w:t>entitlement_scope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Declared scope of access or privilege types the agent may request or hold</w:t>
            </w:r>
          </w:p>
        </w:tc>
      </w:tr>
      <w:tr>
        <w:trPr/>
        <w:tc>
          <w:tcPr>
            <w:tcW w:w="4297" w:type="dxa"/>
            <w:tcBorders/>
            <w:vAlign w:val="center"/>
          </w:tcPr>
          <w:p>
            <w:pPr>
              <w:pStyle w:val="TableContents"/>
              <w:bidi w:val="0"/>
              <w:spacing w:before="0" w:after="283"/>
              <w:jc w:val="left"/>
              <w:rPr/>
            </w:pPr>
            <w:r>
              <w:rPr>
                <w:rStyle w:val="SourceText"/>
              </w:rPr>
              <w:t>reachable_systems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Classes of systems, services, or environments the agent can materially affect</w:t>
            </w:r>
          </w:p>
        </w:tc>
      </w:tr>
      <w:tr>
        <w:trPr/>
        <w:tc>
          <w:tcPr>
            <w:tcW w:w="4297" w:type="dxa"/>
            <w:tcBorders/>
            <w:vAlign w:val="center"/>
          </w:tcPr>
          <w:p>
            <w:pPr>
              <w:pStyle w:val="TableContents"/>
              <w:bidi w:val="0"/>
              <w:spacing w:before="0" w:after="283"/>
              <w:jc w:val="left"/>
              <w:rPr/>
            </w:pPr>
            <w:r>
              <w:rPr>
                <w:rStyle w:val="SourceText"/>
              </w:rPr>
              <w:t>reachable_data_classes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Classes of data the agent can materially access or process</w:t>
            </w:r>
          </w:p>
        </w:tc>
      </w:tr>
      <w:tr>
        <w:trPr/>
        <w:tc>
          <w:tcPr>
            <w:tcW w:w="4297" w:type="dxa"/>
            <w:tcBorders/>
            <w:vAlign w:val="center"/>
          </w:tcPr>
          <w:p>
            <w:pPr>
              <w:pStyle w:val="TableContents"/>
              <w:bidi w:val="0"/>
              <w:spacing w:before="0" w:after="283"/>
              <w:jc w:val="left"/>
              <w:rPr/>
            </w:pPr>
            <w:r>
              <w:rPr>
                <w:rStyle w:val="SourceText"/>
              </w:rPr>
              <w:t>credential_bindings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Credential, token, or delegated identity model used to act as the agent</w:t>
            </w:r>
          </w:p>
        </w:tc>
      </w:tr>
      <w:tr>
        <w:trPr/>
        <w:tc>
          <w:tcPr>
            <w:tcW w:w="4297" w:type="dxa"/>
            <w:tcBorders/>
            <w:vAlign w:val="center"/>
          </w:tcPr>
          <w:p>
            <w:pPr>
              <w:pStyle w:val="TableContents"/>
              <w:bidi w:val="0"/>
              <w:spacing w:before="0" w:after="283"/>
              <w:jc w:val="left"/>
              <w:rPr/>
            </w:pPr>
            <w:r>
              <w:rPr>
                <w:rStyle w:val="SourceText"/>
              </w:rPr>
              <w:t>least_privilege_posture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Whether the declared access posture is attested as least-privilege, over-scoped, unknown, or under review</w:t>
            </w:r>
          </w:p>
        </w:tc>
      </w:tr>
      <w:tr>
        <w:trPr/>
        <w:tc>
          <w:tcPr>
            <w:tcW w:w="4297" w:type="dxa"/>
            <w:tcBorders/>
            <w:vAlign w:val="center"/>
          </w:tcPr>
          <w:p>
            <w:pPr>
              <w:pStyle w:val="TableContents"/>
              <w:bidi w:val="0"/>
              <w:spacing w:before="0" w:after="283"/>
              <w:jc w:val="left"/>
              <w:rPr/>
            </w:pPr>
            <w:r>
              <w:rPr>
                <w:rStyle w:val="SourceText"/>
              </w:rPr>
              <w:t>blast_radius_profile</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Structured statement of the potential operational impact if the agent or its credentials are misused</w:t>
            </w:r>
          </w:p>
        </w:tc>
      </w:tr>
      <w:tr>
        <w:trPr/>
        <w:tc>
          <w:tcPr>
            <w:tcW w:w="4297" w:type="dxa"/>
            <w:tcBorders/>
            <w:vAlign w:val="center"/>
          </w:tcPr>
          <w:p>
            <w:pPr>
              <w:pStyle w:val="TableContents"/>
              <w:bidi w:val="0"/>
              <w:spacing w:before="0" w:after="283"/>
              <w:jc w:val="left"/>
              <w:rPr/>
            </w:pPr>
            <w:r>
              <w:rPr>
                <w:rStyle w:val="SourceText"/>
              </w:rPr>
              <w:t>mcp_surfaces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 xml:space="preserve">Declared </w:t>
            </w:r>
            <w:r>
              <w:rPr>
                <w:rStyle w:val="SourceText"/>
              </w:rPr>
              <w:t>MCP</w:t>
            </w:r>
            <w:r>
              <w:rPr/>
              <w:t xml:space="preserve"> servers, tools, or connection surfaces the identity exposes or consumes</w:t>
            </w:r>
          </w:p>
        </w:tc>
      </w:tr>
      <w:tr>
        <w:trPr/>
        <w:tc>
          <w:tcPr>
            <w:tcW w:w="4297" w:type="dxa"/>
            <w:tcBorders/>
            <w:vAlign w:val="center"/>
          </w:tcPr>
          <w:p>
            <w:pPr>
              <w:pStyle w:val="TableContents"/>
              <w:bidi w:val="0"/>
              <w:spacing w:before="0" w:after="283"/>
              <w:jc w:val="left"/>
              <w:rPr/>
            </w:pPr>
            <w:r>
              <w:rPr>
                <w:rStyle w:val="SourceText"/>
              </w:rPr>
              <w:t>a2a_surfaces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 xml:space="preserve">Declared </w:t>
            </w:r>
            <w:r>
              <w:rPr>
                <w:rStyle w:val="SourceText"/>
              </w:rPr>
              <w:t>A2A</w:t>
            </w:r>
            <w:r>
              <w:rPr/>
              <w:t xml:space="preserve"> cards, endpoints, or task-interaction surfaces</w:t>
            </w:r>
          </w:p>
        </w:tc>
      </w:tr>
      <w:tr>
        <w:trPr/>
        <w:tc>
          <w:tcPr>
            <w:tcW w:w="4297" w:type="dxa"/>
            <w:tcBorders/>
            <w:vAlign w:val="center"/>
          </w:tcPr>
          <w:p>
            <w:pPr>
              <w:pStyle w:val="TableContents"/>
              <w:bidi w:val="0"/>
              <w:spacing w:before="0" w:after="283"/>
              <w:jc w:val="left"/>
              <w:rPr/>
            </w:pPr>
            <w:r>
              <w:rPr>
                <w:rStyle w:val="SourceText"/>
              </w:rPr>
              <w:t>authorization_classes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Portable action and access classes</w:t>
            </w:r>
          </w:p>
        </w:tc>
      </w:tr>
      <w:tr>
        <w:trPr/>
        <w:tc>
          <w:tcPr>
            <w:tcW w:w="4297" w:type="dxa"/>
            <w:tcBorders/>
            <w:vAlign w:val="center"/>
          </w:tcPr>
          <w:p>
            <w:pPr>
              <w:pStyle w:val="TableContents"/>
              <w:bidi w:val="0"/>
              <w:spacing w:before="0" w:after="283"/>
              <w:jc w:val="left"/>
              <w:rPr/>
            </w:pPr>
            <w:r>
              <w:rPr>
                <w:rStyle w:val="SourceText"/>
              </w:rPr>
              <w:t>badges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Structured assurance and capability claims</w:t>
            </w:r>
          </w:p>
        </w:tc>
      </w:tr>
      <w:tr>
        <w:trPr/>
        <w:tc>
          <w:tcPr>
            <w:tcW w:w="4297" w:type="dxa"/>
            <w:tcBorders/>
            <w:vAlign w:val="center"/>
          </w:tcPr>
          <w:p>
            <w:pPr>
              <w:pStyle w:val="TableContents"/>
              <w:bidi w:val="0"/>
              <w:spacing w:before="0" w:after="283"/>
              <w:jc w:val="left"/>
              <w:rPr/>
            </w:pPr>
            <w:r>
              <w:rPr>
                <w:rStyle w:val="SourceText"/>
              </w:rPr>
              <w:t>verification_material</w:t>
            </w:r>
          </w:p>
        </w:tc>
        <w:tc>
          <w:tcPr>
            <w:tcW w:w="4424" w:type="dxa"/>
            <w:tcBorders/>
            <w:vAlign w:val="center"/>
          </w:tcPr>
          <w:p>
            <w:pPr>
              <w:pStyle w:val="TableContents"/>
              <w:bidi w:val="0"/>
              <w:spacing w:before="0" w:after="283"/>
              <w:jc w:val="left"/>
              <w:rPr/>
            </w:pPr>
            <w:r>
              <w:rPr>
                <w:rStyle w:val="SourceText"/>
              </w:rPr>
              <w:t>MUST</w:t>
            </w:r>
            <w:r>
              <w:rPr/>
              <w:t xml:space="preserve"> for </w:t>
            </w:r>
            <w:r>
              <w:rPr>
                <w:rStyle w:val="SourceText"/>
              </w:rPr>
              <w:t>GAID-Public</w:t>
            </w:r>
          </w:p>
        </w:tc>
        <w:tc>
          <w:tcPr>
            <w:tcW w:w="10286" w:type="dxa"/>
            <w:tcBorders/>
            <w:vAlign w:val="center"/>
          </w:tcPr>
          <w:p>
            <w:pPr>
              <w:pStyle w:val="TableContents"/>
              <w:bidi w:val="0"/>
              <w:spacing w:before="0" w:after="283"/>
              <w:jc w:val="left"/>
              <w:rPr/>
            </w:pPr>
            <w:r>
              <w:rPr/>
              <w:t>Public keys, certificates, or equivalent verifier references</w:t>
            </w:r>
          </w:p>
        </w:tc>
      </w:tr>
      <w:tr>
        <w:trPr/>
        <w:tc>
          <w:tcPr>
            <w:tcW w:w="4297" w:type="dxa"/>
            <w:tcBorders/>
            <w:vAlign w:val="center"/>
          </w:tcPr>
          <w:p>
            <w:pPr>
              <w:pStyle w:val="TableContents"/>
              <w:bidi w:val="0"/>
              <w:spacing w:before="0" w:after="283"/>
              <w:jc w:val="left"/>
              <w:rPr/>
            </w:pPr>
            <w:r>
              <w:rPr>
                <w:rStyle w:val="SourceText"/>
              </w:rPr>
              <w:t>status_endpoint</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Current status and revocation endpoint</w:t>
            </w:r>
          </w:p>
        </w:tc>
      </w:tr>
      <w:tr>
        <w:trPr/>
        <w:tc>
          <w:tcPr>
            <w:tcW w:w="4297" w:type="dxa"/>
            <w:tcBorders/>
            <w:vAlign w:val="center"/>
          </w:tcPr>
          <w:p>
            <w:pPr>
              <w:pStyle w:val="TableContents"/>
              <w:bidi w:val="0"/>
              <w:spacing w:before="0" w:after="283"/>
              <w:jc w:val="left"/>
              <w:rPr/>
            </w:pPr>
            <w:r>
              <w:rPr>
                <w:rStyle w:val="SourceText"/>
              </w:rPr>
              <w:t>transparency_log</w:t>
            </w:r>
          </w:p>
        </w:tc>
        <w:tc>
          <w:tcPr>
            <w:tcW w:w="4424" w:type="dxa"/>
            <w:tcBorders/>
            <w:vAlign w:val="center"/>
          </w:tcPr>
          <w:p>
            <w:pPr>
              <w:pStyle w:val="TableContents"/>
              <w:bidi w:val="0"/>
              <w:spacing w:before="0" w:after="283"/>
              <w:jc w:val="left"/>
              <w:rPr/>
            </w:pPr>
            <w:r>
              <w:rPr>
                <w:rStyle w:val="SourceText"/>
              </w:rPr>
              <w:t>SHOULD</w:t>
            </w:r>
            <w:r>
              <w:rPr/>
              <w:t xml:space="preserve"> for </w:t>
            </w:r>
            <w:r>
              <w:rPr>
                <w:rStyle w:val="SourceText"/>
              </w:rPr>
              <w:t>GAID-Federated</w:t>
            </w:r>
            <w:r>
              <w:rPr/>
              <w:t xml:space="preserve"> and above</w:t>
            </w:r>
          </w:p>
        </w:tc>
        <w:tc>
          <w:tcPr>
            <w:tcW w:w="10286" w:type="dxa"/>
            <w:tcBorders/>
            <w:vAlign w:val="center"/>
          </w:tcPr>
          <w:p>
            <w:pPr>
              <w:pStyle w:val="TableContents"/>
              <w:bidi w:val="0"/>
              <w:spacing w:before="0" w:after="283"/>
              <w:jc w:val="left"/>
              <w:rPr/>
            </w:pPr>
            <w:r>
              <w:rPr/>
              <w:t>Public or internal transparency reference</w:t>
            </w:r>
          </w:p>
        </w:tc>
      </w:tr>
      <w:tr>
        <w:trPr/>
        <w:tc>
          <w:tcPr>
            <w:tcW w:w="4297" w:type="dxa"/>
            <w:tcBorders/>
            <w:vAlign w:val="center"/>
          </w:tcPr>
          <w:p>
            <w:pPr>
              <w:pStyle w:val="TableContents"/>
              <w:bidi w:val="0"/>
              <w:spacing w:before="0" w:after="283"/>
              <w:jc w:val="left"/>
              <w:rPr/>
            </w:pPr>
            <w:r>
              <w:rPr>
                <w:rStyle w:val="SourceText"/>
              </w:rPr>
              <w:t>evidence_refs</w:t>
            </w:r>
          </w:p>
        </w:tc>
        <w:tc>
          <w:tcPr>
            <w:tcW w:w="4424" w:type="dxa"/>
            <w:tcBorders/>
            <w:vAlign w:val="center"/>
          </w:tcPr>
          <w:p>
            <w:pPr>
              <w:pStyle w:val="TableContents"/>
              <w:bidi w:val="0"/>
              <w:spacing w:before="0" w:after="283"/>
              <w:jc w:val="left"/>
              <w:rPr/>
            </w:pPr>
            <w:r>
              <w:rPr>
                <w:rStyle w:val="SourceText"/>
              </w:rPr>
              <w:t>SHOULD</w:t>
            </w:r>
          </w:p>
        </w:tc>
        <w:tc>
          <w:tcPr>
            <w:tcW w:w="10286" w:type="dxa"/>
            <w:tcBorders/>
            <w:vAlign w:val="center"/>
          </w:tcPr>
          <w:p>
            <w:pPr>
              <w:pStyle w:val="TableContents"/>
              <w:bidi w:val="0"/>
              <w:spacing w:before="0" w:after="283"/>
              <w:jc w:val="left"/>
              <w:rPr/>
            </w:pPr>
            <w:r>
              <w:rPr/>
              <w:t>Model cards, evaluations, provenance, policies, or test reports</w:t>
            </w:r>
          </w:p>
        </w:tc>
      </w:tr>
    </w:tbl>
    <w:p>
      <w:pPr>
        <w:pStyle w:val="Heading3"/>
        <w:bidi w:val="0"/>
        <w:jc w:val="left"/>
        <w:rPr/>
      </w:pPr>
      <w:r>
        <w:rPr/>
        <w:t>7.3 Disclosure Expectations</w:t>
      </w:r>
    </w:p>
    <w:p>
      <w:pPr>
        <w:pStyle w:val="BodyText"/>
        <w:bidi w:val="0"/>
        <w:jc w:val="left"/>
        <w:rPr/>
      </w:pPr>
      <w:r>
        <w:rPr/>
        <w:t xml:space="preserve">The </w:t>
      </w:r>
      <w:r>
        <w:rPr>
          <w:rStyle w:val="SourceText"/>
        </w:rPr>
        <w:t>AIDoc</w:t>
      </w:r>
      <w:r>
        <w:rPr/>
        <w:t xml:space="preserve"> </w:t>
      </w:r>
      <w:r>
        <w:rPr>
          <w:rStyle w:val="SourceText"/>
        </w:rPr>
        <w:t>MUST NOT</w:t>
      </w:r>
      <w:r>
        <w:rPr/>
        <w:t xml:space="preserve"> fabricate precision that the issuer does not have.</w:t>
      </w:r>
    </w:p>
    <w:p>
      <w:pPr>
        <w:pStyle w:val="BodyText"/>
        <w:bidi w:val="0"/>
        <w:jc w:val="left"/>
        <w:rPr/>
      </w:pPr>
      <w:r>
        <w:rPr/>
        <w:t>If an issuer does not know a field such as:</w:t>
      </w:r>
    </w:p>
    <w:p>
      <w:pPr>
        <w:pStyle w:val="BodyText"/>
        <w:numPr>
          <w:ilvl w:val="0"/>
          <w:numId w:val="41"/>
        </w:numPr>
        <w:tabs>
          <w:tab w:val="clear" w:pos="1134"/>
          <w:tab w:val="left" w:pos="709" w:leader="none"/>
        </w:tabs>
        <w:bidi w:val="0"/>
        <w:spacing w:before="0" w:after="0"/>
        <w:ind w:hanging="283" w:left="709"/>
        <w:jc w:val="left"/>
        <w:rPr/>
      </w:pPr>
      <w:r>
        <w:rPr/>
        <w:t xml:space="preserve">training-data disclosure </w:t>
      </w:r>
    </w:p>
    <w:p>
      <w:pPr>
        <w:pStyle w:val="BodyText"/>
        <w:numPr>
          <w:ilvl w:val="0"/>
          <w:numId w:val="41"/>
        </w:numPr>
        <w:tabs>
          <w:tab w:val="clear" w:pos="1134"/>
          <w:tab w:val="left" w:pos="709" w:leader="none"/>
        </w:tabs>
        <w:bidi w:val="0"/>
        <w:spacing w:before="0" w:after="0"/>
        <w:ind w:hanging="283" w:left="709"/>
        <w:jc w:val="left"/>
        <w:rPr/>
      </w:pPr>
      <w:r>
        <w:rPr/>
        <w:t xml:space="preserve">benchmark evidence </w:t>
      </w:r>
    </w:p>
    <w:p>
      <w:pPr>
        <w:pStyle w:val="BodyText"/>
        <w:numPr>
          <w:ilvl w:val="0"/>
          <w:numId w:val="41"/>
        </w:numPr>
        <w:tabs>
          <w:tab w:val="clear" w:pos="1134"/>
          <w:tab w:val="left" w:pos="709" w:leader="none"/>
        </w:tabs>
        <w:bidi w:val="0"/>
        <w:spacing w:before="0" w:after="0"/>
        <w:ind w:hanging="283" w:left="709"/>
        <w:jc w:val="left"/>
        <w:rPr/>
      </w:pPr>
      <w:r>
        <w:rPr/>
        <w:t xml:space="preserve">effective context limit </w:t>
      </w:r>
    </w:p>
    <w:p>
      <w:pPr>
        <w:pStyle w:val="BodyText"/>
        <w:numPr>
          <w:ilvl w:val="0"/>
          <w:numId w:val="41"/>
        </w:numPr>
        <w:tabs>
          <w:tab w:val="clear" w:pos="1134"/>
          <w:tab w:val="left" w:pos="709" w:leader="none"/>
        </w:tabs>
        <w:bidi w:val="0"/>
        <w:spacing w:before="0" w:after="0"/>
        <w:ind w:hanging="283" w:left="709"/>
        <w:jc w:val="left"/>
        <w:rPr/>
      </w:pPr>
      <w:r>
        <w:rPr/>
        <w:t xml:space="preserve">provider-side memory behavior </w:t>
      </w:r>
    </w:p>
    <w:p>
      <w:pPr>
        <w:pStyle w:val="BodyText"/>
        <w:numPr>
          <w:ilvl w:val="0"/>
          <w:numId w:val="41"/>
        </w:numPr>
        <w:tabs>
          <w:tab w:val="clear" w:pos="1134"/>
          <w:tab w:val="left" w:pos="709" w:leader="none"/>
        </w:tabs>
        <w:bidi w:val="0"/>
        <w:ind w:hanging="283" w:left="709"/>
        <w:jc w:val="left"/>
        <w:rPr/>
      </w:pPr>
      <w:r>
        <w:rPr/>
        <w:t xml:space="preserve">model bias assessment </w:t>
      </w:r>
    </w:p>
    <w:p>
      <w:pPr>
        <w:pStyle w:val="BodyText"/>
        <w:bidi w:val="0"/>
        <w:jc w:val="left"/>
        <w:rPr/>
      </w:pPr>
      <w:r>
        <w:rPr/>
        <w:t xml:space="preserve">then the field </w:t>
      </w:r>
      <w:r>
        <w:rPr>
          <w:rStyle w:val="SourceText"/>
        </w:rPr>
        <w:t>MUST</w:t>
      </w:r>
      <w:r>
        <w:rPr/>
        <w:t xml:space="preserve"> be marked as:</w:t>
      </w:r>
    </w:p>
    <w:p>
      <w:pPr>
        <w:pStyle w:val="BodyText"/>
        <w:numPr>
          <w:ilvl w:val="0"/>
          <w:numId w:val="42"/>
        </w:numPr>
        <w:tabs>
          <w:tab w:val="clear" w:pos="1134"/>
          <w:tab w:val="left" w:pos="709" w:leader="none"/>
        </w:tabs>
        <w:bidi w:val="0"/>
        <w:spacing w:before="0" w:after="0"/>
        <w:ind w:hanging="283" w:left="709"/>
        <w:jc w:val="left"/>
        <w:rPr/>
      </w:pPr>
      <w:r>
        <w:rPr>
          <w:rStyle w:val="SourceText"/>
        </w:rPr>
        <w:t>undisclosed</w:t>
      </w:r>
      <w:r>
        <w:rPr/>
        <w:t xml:space="preserve"> </w:t>
      </w:r>
    </w:p>
    <w:p>
      <w:pPr>
        <w:pStyle w:val="BodyText"/>
        <w:numPr>
          <w:ilvl w:val="0"/>
          <w:numId w:val="42"/>
        </w:numPr>
        <w:tabs>
          <w:tab w:val="clear" w:pos="1134"/>
          <w:tab w:val="left" w:pos="709" w:leader="none"/>
        </w:tabs>
        <w:bidi w:val="0"/>
        <w:spacing w:before="0" w:after="0"/>
        <w:ind w:hanging="283" w:left="709"/>
        <w:jc w:val="left"/>
        <w:rPr/>
      </w:pPr>
      <w:r>
        <w:rPr>
          <w:rStyle w:val="SourceText"/>
        </w:rPr>
        <w:t>not assessed</w:t>
      </w:r>
      <w:r>
        <w:rPr/>
        <w:t xml:space="preserve"> </w:t>
      </w:r>
    </w:p>
    <w:p>
      <w:pPr>
        <w:pStyle w:val="BodyText"/>
        <w:numPr>
          <w:ilvl w:val="0"/>
          <w:numId w:val="42"/>
        </w:numPr>
        <w:tabs>
          <w:tab w:val="clear" w:pos="1134"/>
          <w:tab w:val="left" w:pos="709" w:leader="none"/>
        </w:tabs>
        <w:bidi w:val="0"/>
        <w:spacing w:before="0" w:after="0"/>
        <w:ind w:hanging="283" w:left="709"/>
        <w:jc w:val="left"/>
        <w:rPr/>
      </w:pPr>
      <w:r>
        <w:rPr>
          <w:rStyle w:val="SourceText"/>
        </w:rPr>
        <w:t>not independently verified</w:t>
      </w:r>
      <w:r>
        <w:rPr/>
        <w:t xml:space="preserve"> </w:t>
      </w:r>
    </w:p>
    <w:p>
      <w:pPr>
        <w:pStyle w:val="BodyText"/>
        <w:numPr>
          <w:ilvl w:val="0"/>
          <w:numId w:val="42"/>
        </w:numPr>
        <w:tabs>
          <w:tab w:val="clear" w:pos="1134"/>
          <w:tab w:val="left" w:pos="709" w:leader="none"/>
        </w:tabs>
        <w:bidi w:val="0"/>
        <w:ind w:hanging="283" w:left="709"/>
        <w:jc w:val="left"/>
        <w:rPr/>
      </w:pPr>
      <w:r>
        <w:rPr>
          <w:rStyle w:val="SourceText"/>
        </w:rPr>
        <w:t>not applicable</w:t>
      </w:r>
      <w:r>
        <w:rPr/>
        <w:t xml:space="preserve"> </w:t>
      </w:r>
    </w:p>
    <w:p>
      <w:pPr>
        <w:pStyle w:val="BodyText"/>
        <w:bidi w:val="0"/>
        <w:jc w:val="left"/>
        <w:rPr/>
      </w:pPr>
      <w:r>
        <w:rPr/>
        <w:t>The point is not to force perfect disclosure. The point is to make missing evidence explicit.</w:t>
      </w:r>
    </w:p>
    <w:p>
      <w:pPr>
        <w:pStyle w:val="BodyText"/>
        <w:bidi w:val="0"/>
        <w:jc w:val="left"/>
        <w:rPr/>
      </w:pPr>
      <w:r>
        <w:rPr/>
        <w:t xml:space="preserve">For adoption, a </w:t>
      </w:r>
      <w:r>
        <w:rPr>
          <w:rStyle w:val="SourceText"/>
        </w:rPr>
        <w:t>GAID-Private</w:t>
      </w:r>
      <w:r>
        <w:rPr/>
        <w:t xml:space="preserve"> implementation </w:t>
      </w:r>
      <w:r>
        <w:rPr>
          <w:rStyle w:val="SourceText"/>
        </w:rPr>
        <w:t>SHOULD</w:t>
      </w:r>
      <w:r>
        <w:rPr/>
        <w:t xml:space="preserve"> be able to publish a minimum viable </w:t>
      </w:r>
      <w:r>
        <w:rPr>
          <w:rStyle w:val="SourceText"/>
        </w:rPr>
        <w:t>AIDoc</w:t>
      </w:r>
      <w:r>
        <w:rPr/>
        <w:t xml:space="preserve"> using only the </w:t>
      </w:r>
      <w:r>
        <w:rPr>
          <w:rStyle w:val="SourceText"/>
        </w:rPr>
        <w:t>MUST</w:t>
      </w:r>
      <w:r>
        <w:rPr/>
        <w:t xml:space="preserve"> fields plus the smallest set of local accountability fields needed to inventory and govern the subject.</w:t>
      </w:r>
    </w:p>
    <w:p>
      <w:pPr>
        <w:pStyle w:val="Heading3"/>
        <w:bidi w:val="0"/>
        <w:jc w:val="left"/>
        <w:rPr/>
      </w:pPr>
      <w:r>
        <w:rPr/>
        <w:t>7.4 Minimum Viable Private AIDoc</w:t>
      </w:r>
    </w:p>
    <w:p>
      <w:pPr>
        <w:pStyle w:val="BodyText"/>
        <w:bidi w:val="0"/>
        <w:jc w:val="left"/>
        <w:rPr/>
      </w:pPr>
      <w:r>
        <w:rPr/>
        <w:t xml:space="preserve">A minimum viable private </w:t>
      </w:r>
      <w:r>
        <w:rPr>
          <w:rStyle w:val="SourceText"/>
        </w:rPr>
        <w:t>AIDoc</w:t>
      </w:r>
      <w:r>
        <w:rPr/>
        <w:t xml:space="preserve"> </w:t>
      </w:r>
      <w:r>
        <w:rPr>
          <w:rStyle w:val="SourceText"/>
        </w:rPr>
        <w:t>SHOULD</w:t>
      </w:r>
      <w:r>
        <w:rPr/>
        <w:t xml:space="preserve"> usually be sufficient if it contains:</w:t>
      </w:r>
    </w:p>
    <w:p>
      <w:pPr>
        <w:pStyle w:val="BodyText"/>
        <w:numPr>
          <w:ilvl w:val="0"/>
          <w:numId w:val="43"/>
        </w:numPr>
        <w:tabs>
          <w:tab w:val="clear" w:pos="1134"/>
          <w:tab w:val="left" w:pos="709" w:leader="none"/>
        </w:tabs>
        <w:bidi w:val="0"/>
        <w:spacing w:before="0" w:after="0"/>
        <w:ind w:hanging="283" w:left="709"/>
        <w:jc w:val="left"/>
        <w:rPr/>
      </w:pPr>
      <w:r>
        <w:rPr>
          <w:rStyle w:val="SourceText"/>
        </w:rPr>
        <w:t>gaid</w:t>
      </w:r>
      <w:r>
        <w:rPr/>
        <w:t xml:space="preserve"> </w:t>
      </w:r>
    </w:p>
    <w:p>
      <w:pPr>
        <w:pStyle w:val="BodyText"/>
        <w:numPr>
          <w:ilvl w:val="0"/>
          <w:numId w:val="43"/>
        </w:numPr>
        <w:tabs>
          <w:tab w:val="clear" w:pos="1134"/>
          <w:tab w:val="left" w:pos="709" w:leader="none"/>
        </w:tabs>
        <w:bidi w:val="0"/>
        <w:spacing w:before="0" w:after="0"/>
        <w:ind w:hanging="283" w:left="709"/>
        <w:jc w:val="left"/>
        <w:rPr/>
      </w:pPr>
      <w:r>
        <w:rPr>
          <w:rStyle w:val="SourceText"/>
        </w:rPr>
        <w:t>subject_name</w:t>
      </w:r>
      <w:r>
        <w:rPr/>
        <w:t xml:space="preserve"> </w:t>
      </w:r>
    </w:p>
    <w:p>
      <w:pPr>
        <w:pStyle w:val="BodyText"/>
        <w:numPr>
          <w:ilvl w:val="0"/>
          <w:numId w:val="43"/>
        </w:numPr>
        <w:tabs>
          <w:tab w:val="clear" w:pos="1134"/>
          <w:tab w:val="left" w:pos="709" w:leader="none"/>
        </w:tabs>
        <w:bidi w:val="0"/>
        <w:spacing w:before="0" w:after="0"/>
        <w:ind w:hanging="283" w:left="709"/>
        <w:jc w:val="left"/>
        <w:rPr/>
      </w:pPr>
      <w:r>
        <w:rPr>
          <w:rStyle w:val="SourceText"/>
        </w:rPr>
        <w:t>issuer</w:t>
      </w:r>
      <w:r>
        <w:rPr/>
        <w:t xml:space="preserve"> </w:t>
      </w:r>
    </w:p>
    <w:p>
      <w:pPr>
        <w:pStyle w:val="BodyText"/>
        <w:numPr>
          <w:ilvl w:val="0"/>
          <w:numId w:val="43"/>
        </w:numPr>
        <w:tabs>
          <w:tab w:val="clear" w:pos="1134"/>
          <w:tab w:val="left" w:pos="709" w:leader="none"/>
        </w:tabs>
        <w:bidi w:val="0"/>
        <w:spacing w:before="0" w:after="0"/>
        <w:ind w:hanging="283" w:left="709"/>
        <w:jc w:val="left"/>
        <w:rPr/>
      </w:pPr>
      <w:r>
        <w:rPr>
          <w:rStyle w:val="SourceText"/>
        </w:rPr>
        <w:t>status</w:t>
      </w:r>
      <w:r>
        <w:rPr/>
        <w:t xml:space="preserve"> </w:t>
      </w:r>
    </w:p>
    <w:p>
      <w:pPr>
        <w:pStyle w:val="BodyText"/>
        <w:numPr>
          <w:ilvl w:val="0"/>
          <w:numId w:val="43"/>
        </w:numPr>
        <w:tabs>
          <w:tab w:val="clear" w:pos="1134"/>
          <w:tab w:val="left" w:pos="709" w:leader="none"/>
        </w:tabs>
        <w:bidi w:val="0"/>
        <w:spacing w:before="0" w:after="0"/>
        <w:ind w:hanging="283" w:left="709"/>
        <w:jc w:val="left"/>
        <w:rPr/>
      </w:pPr>
      <w:r>
        <w:rPr>
          <w:rStyle w:val="SourceText"/>
        </w:rPr>
        <w:t>subject_type</w:t>
      </w:r>
      <w:r>
        <w:rPr/>
        <w:t xml:space="preserve"> </w:t>
      </w:r>
    </w:p>
    <w:p>
      <w:pPr>
        <w:pStyle w:val="BodyText"/>
        <w:numPr>
          <w:ilvl w:val="0"/>
          <w:numId w:val="43"/>
        </w:numPr>
        <w:tabs>
          <w:tab w:val="clear" w:pos="1134"/>
          <w:tab w:val="left" w:pos="709" w:leader="none"/>
        </w:tabs>
        <w:bidi w:val="0"/>
        <w:spacing w:before="0" w:after="0"/>
        <w:ind w:hanging="283" w:left="709"/>
        <w:jc w:val="left"/>
        <w:rPr/>
      </w:pPr>
      <w:r>
        <w:rPr>
          <w:rStyle w:val="SourceText"/>
        </w:rPr>
        <w:t>owner_organization</w:t>
      </w:r>
      <w:r>
        <w:rPr/>
        <w:t xml:space="preserve"> </w:t>
      </w:r>
    </w:p>
    <w:p>
      <w:pPr>
        <w:pStyle w:val="BodyText"/>
        <w:numPr>
          <w:ilvl w:val="0"/>
          <w:numId w:val="43"/>
        </w:numPr>
        <w:tabs>
          <w:tab w:val="clear" w:pos="1134"/>
          <w:tab w:val="left" w:pos="709" w:leader="none"/>
        </w:tabs>
        <w:bidi w:val="0"/>
        <w:spacing w:before="0" w:after="0"/>
        <w:ind w:hanging="283" w:left="709"/>
        <w:jc w:val="left"/>
        <w:rPr/>
      </w:pPr>
      <w:r>
        <w:rPr>
          <w:rStyle w:val="SourceText"/>
        </w:rPr>
        <w:t>versioning</w:t>
      </w:r>
      <w:r>
        <w:rPr/>
        <w:t xml:space="preserve"> </w:t>
      </w:r>
    </w:p>
    <w:p>
      <w:pPr>
        <w:pStyle w:val="BodyText"/>
        <w:numPr>
          <w:ilvl w:val="0"/>
          <w:numId w:val="43"/>
        </w:numPr>
        <w:tabs>
          <w:tab w:val="clear" w:pos="1134"/>
          <w:tab w:val="left" w:pos="709" w:leader="none"/>
        </w:tabs>
        <w:bidi w:val="0"/>
        <w:spacing w:before="0" w:after="0"/>
        <w:ind w:hanging="283" w:left="709"/>
        <w:jc w:val="left"/>
        <w:rPr/>
      </w:pPr>
      <w:r>
        <w:rPr>
          <w:rStyle w:val="SourceText"/>
        </w:rPr>
        <w:t>model_binding</w:t>
      </w:r>
      <w:r>
        <w:rPr/>
        <w:t xml:space="preserve"> </w:t>
      </w:r>
    </w:p>
    <w:p>
      <w:pPr>
        <w:pStyle w:val="BodyText"/>
        <w:numPr>
          <w:ilvl w:val="0"/>
          <w:numId w:val="43"/>
        </w:numPr>
        <w:tabs>
          <w:tab w:val="clear" w:pos="1134"/>
          <w:tab w:val="left" w:pos="709" w:leader="none"/>
        </w:tabs>
        <w:bidi w:val="0"/>
        <w:ind w:hanging="283" w:left="709"/>
        <w:jc w:val="left"/>
        <w:rPr/>
      </w:pPr>
      <w:r>
        <w:rPr>
          <w:rStyle w:val="SourceText"/>
        </w:rPr>
        <w:t>tool_surface</w:t>
      </w:r>
      <w:r>
        <w:rPr/>
        <w:t xml:space="preserve"> </w:t>
      </w:r>
    </w:p>
    <w:p>
      <w:pPr>
        <w:pStyle w:val="BodyText"/>
        <w:bidi w:val="0"/>
        <w:jc w:val="left"/>
        <w:rPr/>
      </w:pPr>
      <w:r>
        <w:rPr/>
        <w:t xml:space="preserve">Most enterprises will also want at least one local accountability field such as </w:t>
      </w:r>
      <w:r>
        <w:rPr>
          <w:rStyle w:val="SourceText"/>
        </w:rPr>
        <w:t>owner_of_record</w:t>
      </w:r>
      <w:r>
        <w:rPr/>
        <w:t xml:space="preserve">, </w:t>
      </w:r>
      <w:r>
        <w:rPr>
          <w:rStyle w:val="SourceText"/>
        </w:rPr>
        <w:t>responsible_team</w:t>
      </w:r>
      <w:r>
        <w:rPr/>
        <w:t xml:space="preserve">, or </w:t>
      </w:r>
      <w:r>
        <w:rPr>
          <w:rStyle w:val="SourceText"/>
        </w:rPr>
        <w:t>directory_bindings</w:t>
      </w:r>
      <w:r>
        <w:rPr/>
        <w:t>.</w:t>
      </w:r>
    </w:p>
    <w:p>
      <w:pPr>
        <w:pStyle w:val="Heading3"/>
        <w:bidi w:val="0"/>
        <w:jc w:val="left"/>
        <w:rPr/>
      </w:pPr>
      <w:r>
        <w:rPr/>
        <w:t>7.5 Operating Surface Declarations</w:t>
      </w:r>
    </w:p>
    <w:p>
      <w:pPr>
        <w:pStyle w:val="BodyText"/>
        <w:bidi w:val="0"/>
        <w:jc w:val="left"/>
        <w:rPr/>
      </w:pPr>
      <w:r>
        <w:rPr/>
        <w:t xml:space="preserve">The </w:t>
      </w:r>
      <w:r>
        <w:rPr>
          <w:rStyle w:val="SourceText"/>
        </w:rPr>
        <w:t>AIDoc</w:t>
      </w:r>
      <w:r>
        <w:rPr/>
        <w:t xml:space="preserve"> </w:t>
      </w:r>
      <w:r>
        <w:rPr>
          <w:rStyle w:val="SourceText"/>
        </w:rPr>
        <w:t>SHOULD</w:t>
      </w:r>
      <w:r>
        <w:rPr/>
        <w:t xml:space="preserve"> declare the surfaces that materially affect trust, including:</w:t>
      </w:r>
    </w:p>
    <w:p>
      <w:pPr>
        <w:pStyle w:val="BodyText"/>
        <w:numPr>
          <w:ilvl w:val="0"/>
          <w:numId w:val="44"/>
        </w:numPr>
        <w:tabs>
          <w:tab w:val="clear" w:pos="1134"/>
          <w:tab w:val="left" w:pos="709" w:leader="none"/>
        </w:tabs>
        <w:bidi w:val="0"/>
        <w:spacing w:before="0" w:after="0"/>
        <w:ind w:hanging="283" w:left="709"/>
        <w:jc w:val="left"/>
        <w:rPr/>
      </w:pPr>
      <w:r>
        <w:rPr/>
        <w:t xml:space="preserve">exposed tools and connector families </w:t>
      </w:r>
    </w:p>
    <w:p>
      <w:pPr>
        <w:pStyle w:val="BodyText"/>
        <w:numPr>
          <w:ilvl w:val="0"/>
          <w:numId w:val="44"/>
        </w:numPr>
        <w:tabs>
          <w:tab w:val="clear" w:pos="1134"/>
          <w:tab w:val="left" w:pos="709" w:leader="none"/>
        </w:tabs>
        <w:bidi w:val="0"/>
        <w:spacing w:before="0" w:after="0"/>
        <w:ind w:hanging="283" w:left="709"/>
        <w:jc w:val="left"/>
        <w:rPr/>
      </w:pPr>
      <w:r>
        <w:rPr/>
        <w:t xml:space="preserve">external protocols such as </w:t>
      </w:r>
      <w:r>
        <w:rPr>
          <w:rStyle w:val="SourceText"/>
        </w:rPr>
        <w:t>MCP</w:t>
      </w:r>
      <w:r>
        <w:rPr/>
        <w:t xml:space="preserve">, </w:t>
      </w:r>
      <w:r>
        <w:rPr>
          <w:rStyle w:val="SourceText"/>
        </w:rPr>
        <w:t>A2A</w:t>
      </w:r>
      <w:r>
        <w:rPr/>
        <w:t xml:space="preserve">, HTTP APIs, queues, or event streams </w:t>
      </w:r>
    </w:p>
    <w:p>
      <w:pPr>
        <w:pStyle w:val="BodyText"/>
        <w:numPr>
          <w:ilvl w:val="0"/>
          <w:numId w:val="44"/>
        </w:numPr>
        <w:tabs>
          <w:tab w:val="clear" w:pos="1134"/>
          <w:tab w:val="left" w:pos="709" w:leader="none"/>
        </w:tabs>
        <w:bidi w:val="0"/>
        <w:spacing w:before="0" w:after="0"/>
        <w:ind w:hanging="283" w:left="709"/>
        <w:jc w:val="left"/>
        <w:rPr/>
      </w:pPr>
      <w:r>
        <w:rPr/>
        <w:t xml:space="preserve">prompt or instruction classes </w:t>
      </w:r>
    </w:p>
    <w:p>
      <w:pPr>
        <w:pStyle w:val="BodyText"/>
        <w:numPr>
          <w:ilvl w:val="0"/>
          <w:numId w:val="44"/>
        </w:numPr>
        <w:tabs>
          <w:tab w:val="clear" w:pos="1134"/>
          <w:tab w:val="left" w:pos="709" w:leader="none"/>
        </w:tabs>
        <w:bidi w:val="0"/>
        <w:spacing w:before="0" w:after="0"/>
        <w:ind w:hanging="283" w:left="709"/>
        <w:jc w:val="left"/>
        <w:rPr/>
      </w:pPr>
      <w:r>
        <w:rPr/>
        <w:t xml:space="preserve">skills or callable specialties </w:t>
      </w:r>
    </w:p>
    <w:p>
      <w:pPr>
        <w:pStyle w:val="BodyText"/>
        <w:numPr>
          <w:ilvl w:val="0"/>
          <w:numId w:val="44"/>
        </w:numPr>
        <w:tabs>
          <w:tab w:val="clear" w:pos="1134"/>
          <w:tab w:val="left" w:pos="709" w:leader="none"/>
        </w:tabs>
        <w:bidi w:val="0"/>
        <w:spacing w:before="0" w:after="0"/>
        <w:ind w:hanging="283" w:left="709"/>
        <w:jc w:val="left"/>
        <w:rPr/>
      </w:pPr>
      <w:r>
        <w:rPr/>
        <w:t xml:space="preserve">data stores or retrieval classes </w:t>
      </w:r>
    </w:p>
    <w:p>
      <w:pPr>
        <w:pStyle w:val="BodyText"/>
        <w:numPr>
          <w:ilvl w:val="0"/>
          <w:numId w:val="44"/>
        </w:numPr>
        <w:tabs>
          <w:tab w:val="clear" w:pos="1134"/>
          <w:tab w:val="left" w:pos="709" w:leader="none"/>
        </w:tabs>
        <w:bidi w:val="0"/>
        <w:ind w:hanging="283" w:left="709"/>
        <w:jc w:val="left"/>
        <w:rPr/>
      </w:pPr>
      <w:r>
        <w:rPr/>
        <w:t xml:space="preserve">memory and context persistence posture </w:t>
      </w:r>
    </w:p>
    <w:p>
      <w:pPr>
        <w:pStyle w:val="BodyText"/>
        <w:bidi w:val="0"/>
        <w:jc w:val="left"/>
        <w:rPr/>
      </w:pPr>
      <w:r>
        <w:rPr/>
        <w:t xml:space="preserve">An implementation </w:t>
      </w:r>
      <w:r>
        <w:rPr>
          <w:rStyle w:val="SourceText"/>
        </w:rPr>
        <w:t>MUST NOT</w:t>
      </w:r>
      <w:r>
        <w:rPr/>
        <w:t xml:space="preserve"> claim that an agent is narrowly scoped if its declared operating surface is materially broader.</w:t>
      </w:r>
    </w:p>
    <w:p>
      <w:pPr>
        <w:pStyle w:val="Heading3"/>
        <w:bidi w:val="0"/>
        <w:jc w:val="left"/>
        <w:rPr/>
      </w:pPr>
      <w:r>
        <w:rPr/>
        <w:t>7.6 Validation Continuity</w:t>
      </w:r>
    </w:p>
    <w:p>
      <w:pPr>
        <w:pStyle w:val="BodyText"/>
        <w:bidi w:val="0"/>
        <w:jc w:val="left"/>
        <w:rPr/>
      </w:pPr>
      <w:r>
        <w:rPr/>
        <w:t xml:space="preserve">An </w:t>
      </w:r>
      <w:r>
        <w:rPr>
          <w:rStyle w:val="SourceText"/>
        </w:rPr>
        <w:t>AIDoc</w:t>
      </w:r>
      <w:r>
        <w:rPr/>
        <w:t xml:space="preserve"> </w:t>
      </w:r>
      <w:r>
        <w:rPr>
          <w:rStyle w:val="SourceText"/>
        </w:rPr>
        <w:t>SHOULD</w:t>
      </w:r>
      <w:r>
        <w:rPr/>
        <w:t xml:space="preserve"> make it possible for a relying party to distinguish between:</w:t>
      </w:r>
    </w:p>
    <w:p>
      <w:pPr>
        <w:pStyle w:val="BodyText"/>
        <w:numPr>
          <w:ilvl w:val="0"/>
          <w:numId w:val="45"/>
        </w:numPr>
        <w:tabs>
          <w:tab w:val="clear" w:pos="1134"/>
          <w:tab w:val="left" w:pos="709" w:leader="none"/>
        </w:tabs>
        <w:bidi w:val="0"/>
        <w:spacing w:before="0" w:after="0"/>
        <w:ind w:hanging="283" w:left="709"/>
        <w:jc w:val="left"/>
        <w:rPr/>
      </w:pPr>
      <w:r>
        <w:rPr/>
        <w:t xml:space="preserve">the same enduring agent subject </w:t>
      </w:r>
    </w:p>
    <w:p>
      <w:pPr>
        <w:pStyle w:val="BodyText"/>
        <w:numPr>
          <w:ilvl w:val="0"/>
          <w:numId w:val="45"/>
        </w:numPr>
        <w:tabs>
          <w:tab w:val="clear" w:pos="1134"/>
          <w:tab w:val="left" w:pos="709" w:leader="none"/>
        </w:tabs>
        <w:bidi w:val="0"/>
        <w:ind w:hanging="283" w:left="709"/>
        <w:jc w:val="left"/>
        <w:rPr/>
      </w:pPr>
      <w:r>
        <w:rPr/>
        <w:t xml:space="preserve">the same currently validated operational subject </w:t>
      </w:r>
    </w:p>
    <w:p>
      <w:pPr>
        <w:pStyle w:val="BodyText"/>
        <w:bidi w:val="0"/>
        <w:jc w:val="left"/>
        <w:rPr/>
      </w:pPr>
      <w:r>
        <w:rPr/>
        <w:t xml:space="preserve">This means an implementation </w:t>
      </w:r>
      <w:r>
        <w:rPr>
          <w:rStyle w:val="SourceText"/>
        </w:rPr>
        <w:t>SHOULD</w:t>
      </w:r>
      <w:r>
        <w:rPr/>
        <w:t xml:space="preserve"> expose enough state to answer:</w:t>
      </w:r>
    </w:p>
    <w:p>
      <w:pPr>
        <w:pStyle w:val="BodyText"/>
        <w:numPr>
          <w:ilvl w:val="0"/>
          <w:numId w:val="46"/>
        </w:numPr>
        <w:tabs>
          <w:tab w:val="clear" w:pos="1134"/>
          <w:tab w:val="left" w:pos="709" w:leader="none"/>
        </w:tabs>
        <w:bidi w:val="0"/>
        <w:spacing w:before="0" w:after="0"/>
        <w:ind w:hanging="283" w:left="709"/>
        <w:jc w:val="left"/>
        <w:rPr/>
      </w:pPr>
      <w:r>
        <w:rPr/>
        <w:t xml:space="preserve">is this still the same </w:t>
      </w:r>
      <w:r>
        <w:rPr>
          <w:rStyle w:val="SourceText"/>
        </w:rPr>
        <w:t>GAID</w:t>
      </w:r>
      <w:r>
        <w:rPr/>
        <w:t xml:space="preserve">? </w:t>
      </w:r>
    </w:p>
    <w:p>
      <w:pPr>
        <w:pStyle w:val="BodyText"/>
        <w:numPr>
          <w:ilvl w:val="0"/>
          <w:numId w:val="46"/>
        </w:numPr>
        <w:tabs>
          <w:tab w:val="clear" w:pos="1134"/>
          <w:tab w:val="left" w:pos="709" w:leader="none"/>
        </w:tabs>
        <w:bidi w:val="0"/>
        <w:ind w:hanging="283" w:left="709"/>
        <w:jc w:val="left"/>
        <w:rPr/>
      </w:pPr>
      <w:r>
        <w:rPr/>
        <w:t xml:space="preserve">is this still the same materially validated operating state? </w:t>
      </w:r>
    </w:p>
    <w:p>
      <w:pPr>
        <w:pStyle w:val="BodyText"/>
        <w:bidi w:val="0"/>
        <w:jc w:val="left"/>
        <w:rPr/>
      </w:pPr>
      <w:r>
        <w:rPr/>
        <w:t xml:space="preserve">The answer to the second question </w:t>
      </w:r>
      <w:r>
        <w:rPr>
          <w:rStyle w:val="SourceText"/>
        </w:rPr>
        <w:t>MAY</w:t>
      </w:r>
      <w:r>
        <w:rPr/>
        <w:t xml:space="preserve"> change even when the answer to the first remains yes.</w:t>
      </w:r>
    </w:p>
    <w:p>
      <w:pPr>
        <w:pStyle w:val="Heading3"/>
        <w:bidi w:val="0"/>
        <w:jc w:val="left"/>
        <w:rPr/>
      </w:pPr>
      <w:r>
        <w:rPr/>
        <w:t>7.7 Enterprise Directory and Lifecycle Projection</w:t>
      </w:r>
    </w:p>
    <w:p>
      <w:pPr>
        <w:pStyle w:val="BodyText"/>
        <w:bidi w:val="0"/>
        <w:jc w:val="left"/>
        <w:rPr/>
      </w:pPr>
      <w:r>
        <w:rPr/>
        <w:t xml:space="preserve">For enterprise-private operation, the </w:t>
      </w:r>
      <w:r>
        <w:rPr>
          <w:rStyle w:val="SourceText"/>
        </w:rPr>
        <w:t>AIDoc</w:t>
      </w:r>
      <w:r>
        <w:rPr/>
        <w:t xml:space="preserve"> </w:t>
      </w:r>
      <w:r>
        <w:rPr>
          <w:rStyle w:val="SourceText"/>
        </w:rPr>
        <w:t>SHOULD</w:t>
      </w:r>
      <w:r>
        <w:rPr/>
        <w:t xml:space="preserve"> make it possible to project the enduring agent subject into directory and lifecycle systems without fragmenting identity.</w:t>
      </w:r>
    </w:p>
    <w:p>
      <w:pPr>
        <w:pStyle w:val="BodyText"/>
        <w:bidi w:val="0"/>
        <w:jc w:val="left"/>
        <w:rPr/>
      </w:pPr>
      <w:r>
        <w:rPr/>
        <w:t xml:space="preserve">At minimum, an enterprise projection </w:t>
      </w:r>
      <w:r>
        <w:rPr>
          <w:rStyle w:val="SourceText"/>
        </w:rPr>
        <w:t>SHOULD</w:t>
      </w:r>
      <w:r>
        <w:rPr/>
        <w:t xml:space="preserve"> make visible where policy allows:</w:t>
      </w:r>
    </w:p>
    <w:p>
      <w:pPr>
        <w:pStyle w:val="BodyText"/>
        <w:numPr>
          <w:ilvl w:val="0"/>
          <w:numId w:val="47"/>
        </w:numPr>
        <w:tabs>
          <w:tab w:val="clear" w:pos="1134"/>
          <w:tab w:val="left" w:pos="709" w:leader="none"/>
        </w:tabs>
        <w:bidi w:val="0"/>
        <w:spacing w:before="0" w:after="0"/>
        <w:ind w:hanging="283" w:left="709"/>
        <w:jc w:val="left"/>
        <w:rPr/>
      </w:pPr>
      <w:r>
        <w:rPr/>
        <w:t xml:space="preserve">the canonical private </w:t>
      </w:r>
      <w:r>
        <w:rPr>
          <w:rStyle w:val="SourceText"/>
        </w:rPr>
        <w:t>GAID</w:t>
      </w:r>
      <w:r>
        <w:rPr/>
        <w:t xml:space="preserve"> </w:t>
      </w:r>
    </w:p>
    <w:p>
      <w:pPr>
        <w:pStyle w:val="BodyText"/>
        <w:numPr>
          <w:ilvl w:val="0"/>
          <w:numId w:val="47"/>
        </w:numPr>
        <w:tabs>
          <w:tab w:val="clear" w:pos="1134"/>
          <w:tab w:val="left" w:pos="709" w:leader="none"/>
        </w:tabs>
        <w:bidi w:val="0"/>
        <w:spacing w:before="0" w:after="0"/>
        <w:ind w:hanging="283" w:left="709"/>
        <w:jc w:val="left"/>
        <w:rPr/>
      </w:pPr>
      <w:r>
        <w:rPr/>
        <w:t xml:space="preserve">display name and subject type </w:t>
      </w:r>
    </w:p>
    <w:p>
      <w:pPr>
        <w:pStyle w:val="BodyText"/>
        <w:numPr>
          <w:ilvl w:val="0"/>
          <w:numId w:val="47"/>
        </w:numPr>
        <w:tabs>
          <w:tab w:val="clear" w:pos="1134"/>
          <w:tab w:val="left" w:pos="709" w:leader="none"/>
        </w:tabs>
        <w:bidi w:val="0"/>
        <w:spacing w:before="0" w:after="0"/>
        <w:ind w:hanging="283" w:left="709"/>
        <w:jc w:val="left"/>
        <w:rPr/>
      </w:pPr>
      <w:r>
        <w:rPr/>
        <w:t xml:space="preserve">owner, sponsor, or responsible team </w:t>
      </w:r>
    </w:p>
    <w:p>
      <w:pPr>
        <w:pStyle w:val="BodyText"/>
        <w:numPr>
          <w:ilvl w:val="0"/>
          <w:numId w:val="47"/>
        </w:numPr>
        <w:tabs>
          <w:tab w:val="clear" w:pos="1134"/>
          <w:tab w:val="left" w:pos="709" w:leader="none"/>
        </w:tabs>
        <w:bidi w:val="0"/>
        <w:spacing w:before="0" w:after="0"/>
        <w:ind w:hanging="283" w:left="709"/>
        <w:jc w:val="left"/>
        <w:rPr/>
      </w:pPr>
      <w:r>
        <w:rPr/>
        <w:t xml:space="preserve">directory or tenant-local lifecycle identifiers </w:t>
      </w:r>
    </w:p>
    <w:p>
      <w:pPr>
        <w:pStyle w:val="BodyText"/>
        <w:numPr>
          <w:ilvl w:val="0"/>
          <w:numId w:val="47"/>
        </w:numPr>
        <w:tabs>
          <w:tab w:val="clear" w:pos="1134"/>
          <w:tab w:val="left" w:pos="709" w:leader="none"/>
        </w:tabs>
        <w:bidi w:val="0"/>
        <w:spacing w:before="0" w:after="0"/>
        <w:ind w:hanging="283" w:left="709"/>
        <w:jc w:val="left"/>
        <w:rPr/>
      </w:pPr>
      <w:r>
        <w:rPr/>
        <w:t xml:space="preserve">coarse access or group posture </w:t>
      </w:r>
    </w:p>
    <w:p>
      <w:pPr>
        <w:pStyle w:val="BodyText"/>
        <w:numPr>
          <w:ilvl w:val="0"/>
          <w:numId w:val="47"/>
        </w:numPr>
        <w:tabs>
          <w:tab w:val="clear" w:pos="1134"/>
          <w:tab w:val="left" w:pos="709" w:leader="none"/>
        </w:tabs>
        <w:bidi w:val="0"/>
        <w:ind w:hanging="283" w:left="709"/>
        <w:jc w:val="left"/>
        <w:rPr/>
      </w:pPr>
      <w:r>
        <w:rPr/>
        <w:t xml:space="preserve">current validation or restriction state </w:t>
      </w:r>
    </w:p>
    <w:p>
      <w:pPr>
        <w:pStyle w:val="BodyText"/>
        <w:bidi w:val="0"/>
        <w:jc w:val="left"/>
        <w:rPr/>
      </w:pPr>
      <w:r>
        <w:rPr/>
        <w:t xml:space="preserve">The purpose is not to turn </w:t>
      </w:r>
      <w:r>
        <w:rPr>
          <w:rStyle w:val="SourceText"/>
        </w:rPr>
        <w:t>LDAP</w:t>
      </w:r>
      <w:r>
        <w:rPr/>
        <w:t xml:space="preserve"> or </w:t>
      </w:r>
      <w:r>
        <w:rPr>
          <w:rStyle w:val="SourceText"/>
        </w:rPr>
        <w:t>SCIM</w:t>
      </w:r>
      <w:r>
        <w:rPr/>
        <w:t xml:space="preserve"> into </w:t>
      </w:r>
      <w:r>
        <w:rPr>
          <w:rStyle w:val="SourceText"/>
        </w:rPr>
        <w:t>GAID</w:t>
      </w:r>
      <w:r>
        <w:rPr/>
        <w:t>. The purpose is to let internal IAM, access review, and inventory systems reason about agent identity using familiar enterprise carriers.</w:t>
      </w:r>
    </w:p>
    <w:p>
      <w:pPr>
        <w:pStyle w:val="Heading3"/>
        <w:bidi w:val="0"/>
        <w:jc w:val="left"/>
        <w:rPr/>
      </w:pPr>
      <w:r>
        <w:rPr/>
        <w:t>7.8 Example Machine-Readable AIDoc Pattern</w:t>
      </w:r>
    </w:p>
    <w:p>
      <w:pPr>
        <w:pStyle w:val="BodyText"/>
        <w:bidi w:val="0"/>
        <w:jc w:val="left"/>
        <w:rPr/>
      </w:pPr>
      <w:r>
        <w:rPr/>
        <w:t xml:space="preserve">An </w:t>
      </w:r>
      <w:r>
        <w:rPr>
          <w:rStyle w:val="SourceText"/>
        </w:rPr>
        <w:t>AIDoc</w:t>
      </w:r>
      <w:r>
        <w:rPr/>
        <w:t xml:space="preserve"> </w:t>
      </w:r>
      <w:r>
        <w:rPr>
          <w:rStyle w:val="SourceText"/>
        </w:rPr>
        <w:t>SHOULD</w:t>
      </w:r>
      <w:r>
        <w:rPr/>
        <w:t xml:space="preserve"> be rich enough that a relying party can answer basic trust questions without trial-and-error probing.</w:t>
      </w:r>
    </w:p>
    <w:p>
      <w:pPr>
        <w:pStyle w:val="BodyText"/>
        <w:bidi w:val="0"/>
        <w:jc w:val="left"/>
        <w:rPr/>
      </w:pPr>
      <w:r>
        <w:rPr/>
        <w:t>Those questions include:</w:t>
      </w:r>
    </w:p>
    <w:p>
      <w:pPr>
        <w:pStyle w:val="BodyText"/>
        <w:numPr>
          <w:ilvl w:val="0"/>
          <w:numId w:val="48"/>
        </w:numPr>
        <w:tabs>
          <w:tab w:val="clear" w:pos="1134"/>
          <w:tab w:val="left" w:pos="709" w:leader="none"/>
        </w:tabs>
        <w:bidi w:val="0"/>
        <w:spacing w:before="0" w:after="0"/>
        <w:ind w:hanging="283" w:left="709"/>
        <w:jc w:val="left"/>
        <w:rPr/>
      </w:pPr>
      <w:r>
        <w:rPr/>
        <w:t xml:space="preserve">who owns and sponsors this agent </w:t>
      </w:r>
    </w:p>
    <w:p>
      <w:pPr>
        <w:pStyle w:val="BodyText"/>
        <w:numPr>
          <w:ilvl w:val="0"/>
          <w:numId w:val="48"/>
        </w:numPr>
        <w:tabs>
          <w:tab w:val="clear" w:pos="1134"/>
          <w:tab w:val="left" w:pos="709" w:leader="none"/>
        </w:tabs>
        <w:bidi w:val="0"/>
        <w:spacing w:before="0" w:after="0"/>
        <w:ind w:hanging="283" w:left="709"/>
        <w:jc w:val="left"/>
        <w:rPr/>
      </w:pPr>
      <w:r>
        <w:rPr/>
        <w:t xml:space="preserve">what identity systems it is bound to internally </w:t>
      </w:r>
    </w:p>
    <w:p>
      <w:pPr>
        <w:pStyle w:val="BodyText"/>
        <w:numPr>
          <w:ilvl w:val="0"/>
          <w:numId w:val="48"/>
        </w:numPr>
        <w:tabs>
          <w:tab w:val="clear" w:pos="1134"/>
          <w:tab w:val="left" w:pos="709" w:leader="none"/>
        </w:tabs>
        <w:bidi w:val="0"/>
        <w:spacing w:before="0" w:after="0"/>
        <w:ind w:hanging="283" w:left="709"/>
        <w:jc w:val="left"/>
        <w:rPr/>
      </w:pPr>
      <w:r>
        <w:rPr/>
        <w:t xml:space="preserve">what kinds of systems and data it can reach </w:t>
      </w:r>
    </w:p>
    <w:p>
      <w:pPr>
        <w:pStyle w:val="BodyText"/>
        <w:numPr>
          <w:ilvl w:val="0"/>
          <w:numId w:val="48"/>
        </w:numPr>
        <w:tabs>
          <w:tab w:val="clear" w:pos="1134"/>
          <w:tab w:val="left" w:pos="709" w:leader="none"/>
        </w:tabs>
        <w:bidi w:val="0"/>
        <w:spacing w:before="0" w:after="0"/>
        <w:ind w:hanging="283" w:left="709"/>
        <w:jc w:val="left"/>
        <w:rPr/>
      </w:pPr>
      <w:r>
        <w:rPr/>
        <w:t xml:space="preserve">what protocols it exposes </w:t>
      </w:r>
    </w:p>
    <w:p>
      <w:pPr>
        <w:pStyle w:val="BodyText"/>
        <w:numPr>
          <w:ilvl w:val="0"/>
          <w:numId w:val="48"/>
        </w:numPr>
        <w:tabs>
          <w:tab w:val="clear" w:pos="1134"/>
          <w:tab w:val="left" w:pos="709" w:leader="none"/>
        </w:tabs>
        <w:bidi w:val="0"/>
        <w:ind w:hanging="283" w:left="709"/>
        <w:jc w:val="left"/>
        <w:rPr/>
      </w:pPr>
      <w:r>
        <w:rPr/>
        <w:t xml:space="preserve">what evidence exists for the current claims </w:t>
      </w:r>
    </w:p>
    <w:p>
      <w:pPr>
        <w:pStyle w:val="BodyText"/>
        <w:bidi w:val="0"/>
        <w:jc w:val="left"/>
        <w:rPr/>
      </w:pPr>
      <w:r>
        <w:rPr/>
        <w:t xml:space="preserve">This standard does not require one single serialization format, but it </w:t>
      </w:r>
      <w:r>
        <w:rPr>
          <w:rStyle w:val="SourceText"/>
        </w:rPr>
        <w:t>SHOULD</w:t>
      </w:r>
      <w:r>
        <w:rPr/>
        <w:t xml:space="preserve"> encourage a predictable JSON-based baseline so enterprises can inventory, compare, and validate agents programmatically.</w:t>
      </w:r>
    </w:p>
    <w:p>
      <w:pPr>
        <w:pStyle w:val="Heading2"/>
        <w:bidi w:val="0"/>
        <w:jc w:val="left"/>
        <w:rPr/>
      </w:pPr>
      <w:r>
        <w:rPr/>
        <w:t>8. Badge and Assurance Model</w:t>
      </w:r>
    </w:p>
    <w:p>
      <w:pPr>
        <w:pStyle w:val="Heading3"/>
        <w:bidi w:val="0"/>
        <w:jc w:val="left"/>
        <w:rPr/>
      </w:pPr>
      <w:r>
        <w:rPr/>
        <w:t>8.1 Core Principle</w:t>
      </w:r>
    </w:p>
    <w:p>
      <w:pPr>
        <w:pStyle w:val="BodyText"/>
        <w:bidi w:val="0"/>
        <w:jc w:val="left"/>
        <w:rPr/>
      </w:pPr>
      <w:r>
        <w:rPr/>
        <w:t xml:space="preserve">Badging is an integral part of agent identity under this standard. A </w:t>
      </w:r>
      <w:r>
        <w:rPr>
          <w:rStyle w:val="SourceText"/>
        </w:rPr>
        <w:t>GAID</w:t>
      </w:r>
      <w:r>
        <w:rPr/>
        <w:t xml:space="preserve"> without a structured claim model is insufficient for scalable trust.</w:t>
      </w:r>
    </w:p>
    <w:p>
      <w:pPr>
        <w:pStyle w:val="BodyText"/>
        <w:bidi w:val="0"/>
        <w:jc w:val="left"/>
        <w:rPr/>
      </w:pPr>
      <w:r>
        <w:rPr/>
        <w:t>Badges exist to answer questions that organizations and consumers repeatedly face in practice:</w:t>
      </w:r>
    </w:p>
    <w:p>
      <w:pPr>
        <w:pStyle w:val="BodyText"/>
        <w:numPr>
          <w:ilvl w:val="0"/>
          <w:numId w:val="49"/>
        </w:numPr>
        <w:tabs>
          <w:tab w:val="clear" w:pos="1134"/>
          <w:tab w:val="left" w:pos="709" w:leader="none"/>
        </w:tabs>
        <w:bidi w:val="0"/>
        <w:spacing w:before="0" w:after="0"/>
        <w:ind w:hanging="283" w:left="709"/>
        <w:jc w:val="left"/>
        <w:rPr/>
      </w:pPr>
      <w:r>
        <w:rPr/>
        <w:t xml:space="preserve">What can this agent do? </w:t>
      </w:r>
    </w:p>
    <w:p>
      <w:pPr>
        <w:pStyle w:val="BodyText"/>
        <w:numPr>
          <w:ilvl w:val="0"/>
          <w:numId w:val="49"/>
        </w:numPr>
        <w:tabs>
          <w:tab w:val="clear" w:pos="1134"/>
          <w:tab w:val="left" w:pos="709" w:leader="none"/>
        </w:tabs>
        <w:bidi w:val="0"/>
        <w:spacing w:before="0" w:after="0"/>
        <w:ind w:hanging="283" w:left="709"/>
        <w:jc w:val="left"/>
        <w:rPr/>
      </w:pPr>
      <w:r>
        <w:rPr/>
        <w:t xml:space="preserve">What is it allowed to touch? </w:t>
      </w:r>
    </w:p>
    <w:p>
      <w:pPr>
        <w:pStyle w:val="BodyText"/>
        <w:numPr>
          <w:ilvl w:val="0"/>
          <w:numId w:val="49"/>
        </w:numPr>
        <w:tabs>
          <w:tab w:val="clear" w:pos="1134"/>
          <w:tab w:val="left" w:pos="709" w:leader="none"/>
        </w:tabs>
        <w:bidi w:val="0"/>
        <w:spacing w:before="0" w:after="0"/>
        <w:ind w:hanging="283" w:left="709"/>
        <w:jc w:val="left"/>
        <w:rPr/>
      </w:pPr>
      <w:r>
        <w:rPr/>
        <w:t xml:space="preserve">What evidence supports that claim? </w:t>
      </w:r>
    </w:p>
    <w:p>
      <w:pPr>
        <w:pStyle w:val="BodyText"/>
        <w:numPr>
          <w:ilvl w:val="0"/>
          <w:numId w:val="49"/>
        </w:numPr>
        <w:tabs>
          <w:tab w:val="clear" w:pos="1134"/>
          <w:tab w:val="left" w:pos="709" w:leader="none"/>
        </w:tabs>
        <w:bidi w:val="0"/>
        <w:spacing w:before="0" w:after="0"/>
        <w:ind w:hanging="283" w:left="709"/>
        <w:jc w:val="left"/>
        <w:rPr/>
      </w:pPr>
      <w:r>
        <w:rPr/>
        <w:t xml:space="preserve">Has anyone independent assessed it? </w:t>
      </w:r>
    </w:p>
    <w:p>
      <w:pPr>
        <w:pStyle w:val="BodyText"/>
        <w:numPr>
          <w:ilvl w:val="0"/>
          <w:numId w:val="49"/>
        </w:numPr>
        <w:tabs>
          <w:tab w:val="clear" w:pos="1134"/>
          <w:tab w:val="left" w:pos="709" w:leader="none"/>
        </w:tabs>
        <w:bidi w:val="0"/>
        <w:ind w:hanging="283" w:left="709"/>
        <w:jc w:val="left"/>
        <w:rPr/>
      </w:pPr>
      <w:r>
        <w:rPr/>
        <w:t xml:space="preserve">Is it suitable for the purpose for which it is being offered? </w:t>
      </w:r>
    </w:p>
    <w:p>
      <w:pPr>
        <w:pStyle w:val="Heading3"/>
        <w:bidi w:val="0"/>
        <w:jc w:val="left"/>
        <w:rPr/>
      </w:pPr>
      <w:r>
        <w:rPr/>
        <w:t>8.2 Badge Categories</w:t>
      </w:r>
    </w:p>
    <w:p>
      <w:pPr>
        <w:pStyle w:val="BodyText"/>
        <w:bidi w:val="0"/>
        <w:jc w:val="left"/>
        <w:rPr/>
      </w:pPr>
      <w:r>
        <w:rPr/>
        <w:t xml:space="preserve">A conforming implementation </w:t>
      </w:r>
      <w:r>
        <w:rPr>
          <w:rStyle w:val="SourceText"/>
        </w:rPr>
        <w:t>SHOULD</w:t>
      </w:r>
      <w:r>
        <w:rPr/>
        <w:t xml:space="preserve"> support badge categories at least sufficient to express:</w:t>
      </w:r>
    </w:p>
    <w:tbl>
      <w:tblPr>
        <w:tblW w:w="16157" w:type="dxa"/>
        <w:jc w:val="left"/>
        <w:tblInd w:w="0" w:type="dxa"/>
        <w:tblLayout w:type="fixed"/>
        <w:tblCellMar>
          <w:top w:w="28" w:type="dxa"/>
          <w:left w:w="28" w:type="dxa"/>
          <w:bottom w:w="28" w:type="dxa"/>
          <w:right w:w="28" w:type="dxa"/>
        </w:tblCellMar>
      </w:tblPr>
      <w:tblGrid>
        <w:gridCol w:w="5593"/>
        <w:gridCol w:w="10564"/>
      </w:tblGrid>
      <w:tr>
        <w:trPr>
          <w:tblHeader w:val="true"/>
        </w:trPr>
        <w:tc>
          <w:tcPr>
            <w:tcW w:w="5593" w:type="dxa"/>
            <w:tcBorders/>
            <w:vAlign w:val="center"/>
          </w:tcPr>
          <w:p>
            <w:pPr>
              <w:pStyle w:val="TableHeading"/>
              <w:suppressLineNumbers/>
              <w:bidi w:val="0"/>
              <w:spacing w:before="0" w:after="283"/>
              <w:jc w:val="center"/>
              <w:rPr/>
            </w:pPr>
            <w:r>
              <w:rPr/>
              <w:t>Badge Category</w:t>
            </w:r>
          </w:p>
        </w:tc>
        <w:tc>
          <w:tcPr>
            <w:tcW w:w="10564" w:type="dxa"/>
            <w:tcBorders/>
            <w:vAlign w:val="center"/>
          </w:tcPr>
          <w:p>
            <w:pPr>
              <w:pStyle w:val="TableHeading"/>
              <w:suppressLineNumbers/>
              <w:bidi w:val="0"/>
              <w:spacing w:before="0" w:after="283"/>
              <w:jc w:val="center"/>
              <w:rPr/>
            </w:pPr>
            <w:r>
              <w:rPr/>
              <w:t>Examples</w:t>
            </w:r>
          </w:p>
        </w:tc>
      </w:tr>
      <w:tr>
        <w:trPr/>
        <w:tc>
          <w:tcPr>
            <w:tcW w:w="5593" w:type="dxa"/>
            <w:tcBorders/>
            <w:vAlign w:val="center"/>
          </w:tcPr>
          <w:p>
            <w:pPr>
              <w:pStyle w:val="TableContents"/>
              <w:bidi w:val="0"/>
              <w:spacing w:before="0" w:after="283"/>
              <w:jc w:val="left"/>
              <w:rPr/>
            </w:pPr>
            <w:r>
              <w:rPr>
                <w:rStyle w:val="SourceText"/>
              </w:rPr>
              <w:t>identity-and-accountability</w:t>
            </w:r>
          </w:p>
        </w:tc>
        <w:tc>
          <w:tcPr>
            <w:tcW w:w="10564" w:type="dxa"/>
            <w:tcBorders/>
            <w:vAlign w:val="center"/>
          </w:tcPr>
          <w:p>
            <w:pPr>
              <w:pStyle w:val="TableContents"/>
              <w:bidi w:val="0"/>
              <w:spacing w:before="0" w:after="283"/>
              <w:jc w:val="left"/>
              <w:rPr/>
            </w:pPr>
            <w:r>
              <w:rPr/>
              <w:t>sponsor assigned, accountable team declared, directory binding validated</w:t>
            </w:r>
          </w:p>
        </w:tc>
      </w:tr>
      <w:tr>
        <w:trPr/>
        <w:tc>
          <w:tcPr>
            <w:tcW w:w="5593" w:type="dxa"/>
            <w:tcBorders/>
            <w:vAlign w:val="center"/>
          </w:tcPr>
          <w:p>
            <w:pPr>
              <w:pStyle w:val="TableContents"/>
              <w:bidi w:val="0"/>
              <w:spacing w:before="0" w:after="283"/>
              <w:jc w:val="left"/>
              <w:rPr/>
            </w:pPr>
            <w:r>
              <w:rPr>
                <w:rStyle w:val="SourceText"/>
              </w:rPr>
              <w:t>capability</w:t>
            </w:r>
          </w:p>
        </w:tc>
        <w:tc>
          <w:tcPr>
            <w:tcW w:w="10564" w:type="dxa"/>
            <w:tcBorders/>
            <w:vAlign w:val="center"/>
          </w:tcPr>
          <w:p>
            <w:pPr>
              <w:pStyle w:val="TableContents"/>
              <w:bidi w:val="0"/>
              <w:spacing w:before="0" w:after="283"/>
              <w:jc w:val="left"/>
              <w:rPr/>
            </w:pPr>
            <w:r>
              <w:rPr/>
              <w:t>code generation, research, CRM update, scheduling, deployment coordination</w:t>
            </w:r>
          </w:p>
        </w:tc>
      </w:tr>
      <w:tr>
        <w:trPr/>
        <w:tc>
          <w:tcPr>
            <w:tcW w:w="5593" w:type="dxa"/>
            <w:tcBorders/>
            <w:vAlign w:val="center"/>
          </w:tcPr>
          <w:p>
            <w:pPr>
              <w:pStyle w:val="TableContents"/>
              <w:bidi w:val="0"/>
              <w:spacing w:before="0" w:after="283"/>
              <w:jc w:val="left"/>
              <w:rPr/>
            </w:pPr>
            <w:r>
              <w:rPr>
                <w:rStyle w:val="SourceText"/>
              </w:rPr>
              <w:t>job-qualification</w:t>
            </w:r>
          </w:p>
        </w:tc>
        <w:tc>
          <w:tcPr>
            <w:tcW w:w="10564" w:type="dxa"/>
            <w:tcBorders/>
            <w:vAlign w:val="center"/>
          </w:tcPr>
          <w:p>
            <w:pPr>
              <w:pStyle w:val="TableContents"/>
              <w:bidi w:val="0"/>
              <w:spacing w:before="0" w:after="283"/>
              <w:jc w:val="left"/>
              <w:rPr/>
            </w:pPr>
            <w:r>
              <w:rPr/>
              <w:t>qualified for claims intake, architecture review, deployment coordination, or another versioned job profile</w:t>
            </w:r>
          </w:p>
        </w:tc>
      </w:tr>
      <w:tr>
        <w:trPr/>
        <w:tc>
          <w:tcPr>
            <w:tcW w:w="5593" w:type="dxa"/>
            <w:tcBorders/>
            <w:vAlign w:val="center"/>
          </w:tcPr>
          <w:p>
            <w:pPr>
              <w:pStyle w:val="TableContents"/>
              <w:bidi w:val="0"/>
              <w:spacing w:before="0" w:after="283"/>
              <w:jc w:val="left"/>
              <w:rPr/>
            </w:pPr>
            <w:r>
              <w:rPr>
                <w:rStyle w:val="SourceText"/>
              </w:rPr>
              <w:t>governance</w:t>
            </w:r>
          </w:p>
        </w:tc>
        <w:tc>
          <w:tcPr>
            <w:tcW w:w="10564" w:type="dxa"/>
            <w:tcBorders/>
            <w:vAlign w:val="center"/>
          </w:tcPr>
          <w:p>
            <w:pPr>
              <w:pStyle w:val="TableContents"/>
              <w:bidi w:val="0"/>
              <w:spacing w:before="0" w:after="283"/>
              <w:jc w:val="left"/>
              <w:rPr/>
            </w:pPr>
            <w:r>
              <w:rPr/>
              <w:t>human approval required, audit logging enabled, immutable instructions controlled</w:t>
            </w:r>
          </w:p>
        </w:tc>
      </w:tr>
      <w:tr>
        <w:trPr/>
        <w:tc>
          <w:tcPr>
            <w:tcW w:w="5593" w:type="dxa"/>
            <w:tcBorders/>
            <w:vAlign w:val="center"/>
          </w:tcPr>
          <w:p>
            <w:pPr>
              <w:pStyle w:val="TableContents"/>
              <w:bidi w:val="0"/>
              <w:spacing w:before="0" w:after="283"/>
              <w:jc w:val="left"/>
              <w:rPr/>
            </w:pPr>
            <w:r>
              <w:rPr>
                <w:rStyle w:val="SourceText"/>
              </w:rPr>
              <w:t>data-sensitivity</w:t>
            </w:r>
          </w:p>
        </w:tc>
        <w:tc>
          <w:tcPr>
            <w:tcW w:w="10564" w:type="dxa"/>
            <w:tcBorders/>
            <w:vAlign w:val="center"/>
          </w:tcPr>
          <w:p>
            <w:pPr>
              <w:pStyle w:val="TableContents"/>
              <w:bidi w:val="0"/>
              <w:spacing w:before="0" w:after="283"/>
              <w:jc w:val="left"/>
              <w:rPr/>
            </w:pPr>
            <w:r>
              <w:rPr/>
              <w:t>public, internal, confidential, regulated, export-controlled</w:t>
            </w:r>
          </w:p>
        </w:tc>
      </w:tr>
      <w:tr>
        <w:trPr/>
        <w:tc>
          <w:tcPr>
            <w:tcW w:w="5593" w:type="dxa"/>
            <w:tcBorders/>
            <w:vAlign w:val="center"/>
          </w:tcPr>
          <w:p>
            <w:pPr>
              <w:pStyle w:val="TableContents"/>
              <w:bidi w:val="0"/>
              <w:spacing w:before="0" w:after="283"/>
              <w:jc w:val="left"/>
              <w:rPr/>
            </w:pPr>
            <w:r>
              <w:rPr>
                <w:rStyle w:val="SourceText"/>
              </w:rPr>
              <w:t>access-and-blast-radius</w:t>
            </w:r>
          </w:p>
        </w:tc>
        <w:tc>
          <w:tcPr>
            <w:tcW w:w="10564" w:type="dxa"/>
            <w:tcBorders/>
            <w:vAlign w:val="center"/>
          </w:tcPr>
          <w:p>
            <w:pPr>
              <w:pStyle w:val="TableContents"/>
              <w:bidi w:val="0"/>
              <w:spacing w:before="0" w:after="283"/>
              <w:jc w:val="left"/>
              <w:rPr/>
            </w:pPr>
            <w:r>
              <w:rPr/>
              <w:t>least-privilege attested, broad entitlement scope, production write capable, public-facing</w:t>
            </w:r>
          </w:p>
        </w:tc>
      </w:tr>
      <w:tr>
        <w:trPr/>
        <w:tc>
          <w:tcPr>
            <w:tcW w:w="5593" w:type="dxa"/>
            <w:tcBorders/>
            <w:vAlign w:val="center"/>
          </w:tcPr>
          <w:p>
            <w:pPr>
              <w:pStyle w:val="TableContents"/>
              <w:bidi w:val="0"/>
              <w:spacing w:before="0" w:after="283"/>
              <w:jc w:val="left"/>
              <w:rPr/>
            </w:pPr>
            <w:r>
              <w:rPr>
                <w:rStyle w:val="SourceText"/>
              </w:rPr>
              <w:t>action-class</w:t>
            </w:r>
          </w:p>
        </w:tc>
        <w:tc>
          <w:tcPr>
            <w:tcW w:w="10564" w:type="dxa"/>
            <w:tcBorders/>
            <w:vAlign w:val="center"/>
          </w:tcPr>
          <w:p>
            <w:pPr>
              <w:pStyle w:val="TableContents"/>
              <w:bidi w:val="0"/>
              <w:spacing w:before="0" w:after="283"/>
              <w:jc w:val="left"/>
              <w:rPr/>
            </w:pPr>
            <w:r>
              <w:rPr/>
              <w:t>read, recommend, create, update, approve, execute, delegate</w:t>
            </w:r>
          </w:p>
        </w:tc>
      </w:tr>
      <w:tr>
        <w:trPr/>
        <w:tc>
          <w:tcPr>
            <w:tcW w:w="5593" w:type="dxa"/>
            <w:tcBorders/>
            <w:vAlign w:val="center"/>
          </w:tcPr>
          <w:p>
            <w:pPr>
              <w:pStyle w:val="TableContents"/>
              <w:bidi w:val="0"/>
              <w:spacing w:before="0" w:after="283"/>
              <w:jc w:val="left"/>
              <w:rPr/>
            </w:pPr>
            <w:r>
              <w:rPr>
                <w:rStyle w:val="SourceText"/>
              </w:rPr>
              <w:t>interoperability</w:t>
            </w:r>
          </w:p>
        </w:tc>
        <w:tc>
          <w:tcPr>
            <w:tcW w:w="10564" w:type="dxa"/>
            <w:tcBorders/>
            <w:vAlign w:val="center"/>
          </w:tcPr>
          <w:p>
            <w:pPr>
              <w:pStyle w:val="TableContents"/>
              <w:bidi w:val="0"/>
              <w:spacing w:before="0" w:after="283"/>
              <w:jc w:val="left"/>
              <w:rPr/>
            </w:pPr>
            <w:r>
              <w:rPr>
                <w:rStyle w:val="SourceText"/>
              </w:rPr>
              <w:t>MCP</w:t>
            </w:r>
            <w:r>
              <w:rPr/>
              <w:t xml:space="preserve">, </w:t>
            </w:r>
            <w:r>
              <w:rPr>
                <w:rStyle w:val="SourceText"/>
              </w:rPr>
              <w:t>A2A</w:t>
            </w:r>
            <w:r>
              <w:rPr/>
              <w:t>, HTTP API, queue-based worker, UI protocol compatibility</w:t>
            </w:r>
          </w:p>
        </w:tc>
      </w:tr>
      <w:tr>
        <w:trPr/>
        <w:tc>
          <w:tcPr>
            <w:tcW w:w="5593" w:type="dxa"/>
            <w:tcBorders/>
            <w:vAlign w:val="center"/>
          </w:tcPr>
          <w:p>
            <w:pPr>
              <w:pStyle w:val="TableContents"/>
              <w:bidi w:val="0"/>
              <w:spacing w:before="0" w:after="283"/>
              <w:jc w:val="left"/>
              <w:rPr/>
            </w:pPr>
            <w:r>
              <w:rPr>
                <w:rStyle w:val="SourceText"/>
              </w:rPr>
              <w:t>fit-for-purpose</w:t>
            </w:r>
          </w:p>
        </w:tc>
        <w:tc>
          <w:tcPr>
            <w:tcW w:w="10564" w:type="dxa"/>
            <w:tcBorders/>
            <w:vAlign w:val="center"/>
          </w:tcPr>
          <w:p>
            <w:pPr>
              <w:pStyle w:val="TableContents"/>
              <w:bidi w:val="0"/>
              <w:spacing w:before="0" w:after="283"/>
              <w:jc w:val="left"/>
              <w:rPr/>
            </w:pPr>
            <w:r>
              <w:rPr/>
              <w:t>customer support, policy drafting, architecture review, clinical triage support</w:t>
            </w:r>
          </w:p>
        </w:tc>
      </w:tr>
      <w:tr>
        <w:trPr/>
        <w:tc>
          <w:tcPr>
            <w:tcW w:w="5593" w:type="dxa"/>
            <w:tcBorders/>
            <w:vAlign w:val="center"/>
          </w:tcPr>
          <w:p>
            <w:pPr>
              <w:pStyle w:val="TableContents"/>
              <w:bidi w:val="0"/>
              <w:spacing w:before="0" w:after="283"/>
              <w:jc w:val="left"/>
              <w:rPr/>
            </w:pPr>
            <w:r>
              <w:rPr>
                <w:rStyle w:val="SourceText"/>
              </w:rPr>
              <w:t>business-archetype-and-operating-model</w:t>
            </w:r>
          </w:p>
        </w:tc>
        <w:tc>
          <w:tcPr>
            <w:tcW w:w="10564" w:type="dxa"/>
            <w:tcBorders/>
            <w:vAlign w:val="center"/>
          </w:tcPr>
          <w:p>
            <w:pPr>
              <w:pStyle w:val="TableContents"/>
              <w:bidi w:val="0"/>
              <w:spacing w:before="0" w:after="283"/>
              <w:jc w:val="left"/>
              <w:rPr/>
            </w:pPr>
            <w:r>
              <w:rPr/>
              <w:t>HOA management, nonprofit community intake, professional services assistant, software platform coworker</w:t>
            </w:r>
          </w:p>
        </w:tc>
      </w:tr>
      <w:tr>
        <w:trPr/>
        <w:tc>
          <w:tcPr>
            <w:tcW w:w="5593" w:type="dxa"/>
            <w:tcBorders/>
            <w:vAlign w:val="center"/>
          </w:tcPr>
          <w:p>
            <w:pPr>
              <w:pStyle w:val="TableContents"/>
              <w:bidi w:val="0"/>
              <w:spacing w:before="0" w:after="283"/>
              <w:jc w:val="left"/>
              <w:rPr/>
            </w:pPr>
            <w:r>
              <w:rPr>
                <w:rStyle w:val="SourceText"/>
              </w:rPr>
              <w:t>model-and-provider-posture</w:t>
            </w:r>
          </w:p>
        </w:tc>
        <w:tc>
          <w:tcPr>
            <w:tcW w:w="10564" w:type="dxa"/>
            <w:tcBorders/>
            <w:vAlign w:val="center"/>
          </w:tcPr>
          <w:p>
            <w:pPr>
              <w:pStyle w:val="TableContents"/>
              <w:bidi w:val="0"/>
              <w:spacing w:before="0" w:after="283"/>
              <w:jc w:val="left"/>
              <w:rPr/>
            </w:pPr>
            <w:r>
              <w:rPr/>
              <w:t>provider-bound, multi-provider approved, context-window constrained, memory-enabled</w:t>
            </w:r>
          </w:p>
        </w:tc>
      </w:tr>
      <w:tr>
        <w:trPr/>
        <w:tc>
          <w:tcPr>
            <w:tcW w:w="5593" w:type="dxa"/>
            <w:tcBorders/>
            <w:vAlign w:val="center"/>
          </w:tcPr>
          <w:p>
            <w:pPr>
              <w:pStyle w:val="TableContents"/>
              <w:bidi w:val="0"/>
              <w:spacing w:before="0" w:after="283"/>
              <w:jc w:val="left"/>
              <w:rPr/>
            </w:pPr>
            <w:r>
              <w:rPr>
                <w:rStyle w:val="SourceText"/>
              </w:rPr>
              <w:t>safety-and-risk</w:t>
            </w:r>
          </w:p>
        </w:tc>
        <w:tc>
          <w:tcPr>
            <w:tcW w:w="10564" w:type="dxa"/>
            <w:tcBorders/>
            <w:vAlign w:val="center"/>
          </w:tcPr>
          <w:p>
            <w:pPr>
              <w:pStyle w:val="TableContents"/>
              <w:bidi w:val="0"/>
              <w:spacing w:before="0" w:after="283"/>
              <w:jc w:val="left"/>
              <w:rPr/>
            </w:pPr>
            <w:r>
              <w:rPr/>
              <w:t>prompt-injection hardened, sandboxed execution, external content disclosure required</w:t>
            </w:r>
          </w:p>
        </w:tc>
      </w:tr>
      <w:tr>
        <w:trPr/>
        <w:tc>
          <w:tcPr>
            <w:tcW w:w="5593" w:type="dxa"/>
            <w:tcBorders/>
            <w:vAlign w:val="center"/>
          </w:tcPr>
          <w:p>
            <w:pPr>
              <w:pStyle w:val="TableContents"/>
              <w:bidi w:val="0"/>
              <w:spacing w:before="0" w:after="283"/>
              <w:jc w:val="left"/>
              <w:rPr/>
            </w:pPr>
            <w:r>
              <w:rPr>
                <w:rStyle w:val="SourceText"/>
              </w:rPr>
              <w:t>evaluation</w:t>
            </w:r>
          </w:p>
        </w:tc>
        <w:tc>
          <w:tcPr>
            <w:tcW w:w="10564" w:type="dxa"/>
            <w:tcBorders/>
            <w:vAlign w:val="center"/>
          </w:tcPr>
          <w:p>
            <w:pPr>
              <w:pStyle w:val="TableContents"/>
              <w:bidi w:val="0"/>
              <w:spacing w:before="0" w:after="283"/>
              <w:jc w:val="left"/>
              <w:rPr/>
            </w:pPr>
            <w:r>
              <w:rPr/>
              <w:t>benchmark coverage, red-team coverage, failure mode tests, calibration tests</w:t>
            </w:r>
          </w:p>
        </w:tc>
      </w:tr>
      <w:tr>
        <w:trPr/>
        <w:tc>
          <w:tcPr>
            <w:tcW w:w="5593" w:type="dxa"/>
            <w:tcBorders/>
            <w:vAlign w:val="center"/>
          </w:tcPr>
          <w:p>
            <w:pPr>
              <w:pStyle w:val="TableContents"/>
              <w:bidi w:val="0"/>
              <w:spacing w:before="0" w:after="283"/>
              <w:jc w:val="left"/>
              <w:rPr/>
            </w:pPr>
            <w:r>
              <w:rPr>
                <w:rStyle w:val="SourceText"/>
              </w:rPr>
              <w:t>provenance</w:t>
            </w:r>
          </w:p>
        </w:tc>
        <w:tc>
          <w:tcPr>
            <w:tcW w:w="10564" w:type="dxa"/>
            <w:tcBorders/>
            <w:vAlign w:val="center"/>
          </w:tcPr>
          <w:p>
            <w:pPr>
              <w:pStyle w:val="TableContents"/>
              <w:bidi w:val="0"/>
              <w:spacing w:before="0" w:after="283"/>
              <w:jc w:val="left"/>
              <w:rPr/>
            </w:pPr>
            <w:r>
              <w:rPr/>
              <w:t>model card reference, software provenance reference, supply-chain evidence</w:t>
            </w:r>
          </w:p>
        </w:tc>
      </w:tr>
    </w:tbl>
    <w:p>
      <w:pPr>
        <w:pStyle w:val="Heading3"/>
        <w:bidi w:val="0"/>
        <w:jc w:val="left"/>
        <w:rPr/>
      </w:pPr>
      <w:r>
        <w:rPr/>
        <w:t>8.3 Badge Payload Requirements</w:t>
      </w:r>
    </w:p>
    <w:p>
      <w:pPr>
        <w:pStyle w:val="BodyText"/>
        <w:bidi w:val="0"/>
        <w:jc w:val="left"/>
        <w:rPr/>
      </w:pPr>
      <w:r>
        <w:rPr/>
        <w:t xml:space="preserve">Each badge </w:t>
      </w:r>
      <w:r>
        <w:rPr>
          <w:rStyle w:val="SourceText"/>
        </w:rPr>
        <w:t>MUST</w:t>
      </w:r>
      <w:r>
        <w:rPr/>
        <w:t xml:space="preserve"> identify:</w:t>
      </w:r>
    </w:p>
    <w:p>
      <w:pPr>
        <w:pStyle w:val="BodyText"/>
        <w:numPr>
          <w:ilvl w:val="0"/>
          <w:numId w:val="50"/>
        </w:numPr>
        <w:tabs>
          <w:tab w:val="clear" w:pos="1134"/>
          <w:tab w:val="left" w:pos="709" w:leader="none"/>
        </w:tabs>
        <w:bidi w:val="0"/>
        <w:spacing w:before="0" w:after="0"/>
        <w:ind w:hanging="283" w:left="709"/>
        <w:jc w:val="left"/>
        <w:rPr/>
      </w:pPr>
      <w:r>
        <w:rPr/>
        <w:t xml:space="preserve">badge type </w:t>
      </w:r>
    </w:p>
    <w:p>
      <w:pPr>
        <w:pStyle w:val="BodyText"/>
        <w:numPr>
          <w:ilvl w:val="0"/>
          <w:numId w:val="50"/>
        </w:numPr>
        <w:tabs>
          <w:tab w:val="clear" w:pos="1134"/>
          <w:tab w:val="left" w:pos="709" w:leader="none"/>
        </w:tabs>
        <w:bidi w:val="0"/>
        <w:spacing w:before="0" w:after="0"/>
        <w:ind w:hanging="283" w:left="709"/>
        <w:jc w:val="left"/>
        <w:rPr/>
      </w:pPr>
      <w:r>
        <w:rPr/>
        <w:t xml:space="preserve">claim statement </w:t>
      </w:r>
    </w:p>
    <w:p>
      <w:pPr>
        <w:pStyle w:val="BodyText"/>
        <w:numPr>
          <w:ilvl w:val="0"/>
          <w:numId w:val="50"/>
        </w:numPr>
        <w:tabs>
          <w:tab w:val="clear" w:pos="1134"/>
          <w:tab w:val="left" w:pos="709" w:leader="none"/>
        </w:tabs>
        <w:bidi w:val="0"/>
        <w:spacing w:before="0" w:after="0"/>
        <w:ind w:hanging="283" w:left="709"/>
        <w:jc w:val="left"/>
        <w:rPr/>
      </w:pPr>
      <w:r>
        <w:rPr/>
        <w:t xml:space="preserve">claim scope </w:t>
      </w:r>
    </w:p>
    <w:p>
      <w:pPr>
        <w:pStyle w:val="BodyText"/>
        <w:numPr>
          <w:ilvl w:val="0"/>
          <w:numId w:val="50"/>
        </w:numPr>
        <w:tabs>
          <w:tab w:val="clear" w:pos="1134"/>
          <w:tab w:val="left" w:pos="709" w:leader="none"/>
        </w:tabs>
        <w:bidi w:val="0"/>
        <w:spacing w:before="0" w:after="0"/>
        <w:ind w:hanging="283" w:left="709"/>
        <w:jc w:val="left"/>
        <w:rPr/>
      </w:pPr>
      <w:r>
        <w:rPr/>
        <w:t xml:space="preserve">issuer </w:t>
      </w:r>
    </w:p>
    <w:p>
      <w:pPr>
        <w:pStyle w:val="BodyText"/>
        <w:numPr>
          <w:ilvl w:val="0"/>
          <w:numId w:val="50"/>
        </w:numPr>
        <w:tabs>
          <w:tab w:val="clear" w:pos="1134"/>
          <w:tab w:val="left" w:pos="709" w:leader="none"/>
        </w:tabs>
        <w:bidi w:val="0"/>
        <w:spacing w:before="0" w:after="0"/>
        <w:ind w:hanging="283" w:left="709"/>
        <w:jc w:val="left"/>
        <w:rPr/>
      </w:pPr>
      <w:r>
        <w:rPr/>
        <w:t xml:space="preserve">assurance level </w:t>
      </w:r>
    </w:p>
    <w:p>
      <w:pPr>
        <w:pStyle w:val="BodyText"/>
        <w:numPr>
          <w:ilvl w:val="0"/>
          <w:numId w:val="50"/>
        </w:numPr>
        <w:tabs>
          <w:tab w:val="clear" w:pos="1134"/>
          <w:tab w:val="left" w:pos="709" w:leader="none"/>
        </w:tabs>
        <w:bidi w:val="0"/>
        <w:spacing w:before="0" w:after="0"/>
        <w:ind w:hanging="283" w:left="709"/>
        <w:jc w:val="left"/>
        <w:rPr/>
      </w:pPr>
      <w:r>
        <w:rPr/>
        <w:t xml:space="preserve">issuance date </w:t>
      </w:r>
    </w:p>
    <w:p>
      <w:pPr>
        <w:pStyle w:val="BodyText"/>
        <w:numPr>
          <w:ilvl w:val="0"/>
          <w:numId w:val="50"/>
        </w:numPr>
        <w:tabs>
          <w:tab w:val="clear" w:pos="1134"/>
          <w:tab w:val="left" w:pos="709" w:leader="none"/>
        </w:tabs>
        <w:bidi w:val="0"/>
        <w:spacing w:before="0" w:after="0"/>
        <w:ind w:hanging="283" w:left="709"/>
        <w:jc w:val="left"/>
        <w:rPr/>
      </w:pPr>
      <w:r>
        <w:rPr/>
        <w:t xml:space="preserve">expiry or review date where applicable </w:t>
      </w:r>
    </w:p>
    <w:p>
      <w:pPr>
        <w:pStyle w:val="BodyText"/>
        <w:numPr>
          <w:ilvl w:val="0"/>
          <w:numId w:val="50"/>
        </w:numPr>
        <w:tabs>
          <w:tab w:val="clear" w:pos="1134"/>
          <w:tab w:val="left" w:pos="709" w:leader="none"/>
        </w:tabs>
        <w:bidi w:val="0"/>
        <w:ind w:hanging="283" w:left="709"/>
        <w:jc w:val="left"/>
        <w:rPr/>
      </w:pPr>
      <w:r>
        <w:rPr/>
        <w:t xml:space="preserve">evidence reference or explicit statement that evidence is absent </w:t>
      </w:r>
    </w:p>
    <w:p>
      <w:pPr>
        <w:pStyle w:val="BodyText"/>
        <w:bidi w:val="0"/>
        <w:jc w:val="left"/>
        <w:rPr/>
      </w:pPr>
      <w:r>
        <w:rPr/>
        <w:t xml:space="preserve">For scoped claims, the badge </w:t>
      </w:r>
      <w:r>
        <w:rPr>
          <w:rStyle w:val="SourceText"/>
        </w:rPr>
        <w:t>SHOULD</w:t>
      </w:r>
      <w:r>
        <w:rPr/>
        <w:t xml:space="preserve"> structure scope explicitly rather than leaving it as prose.</w:t>
      </w:r>
    </w:p>
    <w:p>
      <w:pPr>
        <w:pStyle w:val="BodyText"/>
        <w:bidi w:val="0"/>
        <w:jc w:val="left"/>
        <w:rPr/>
      </w:pPr>
      <w:r>
        <w:rPr/>
        <w:t xml:space="preserve">At minimum, scoped fit-for-purpose or governance badges </w:t>
      </w:r>
      <w:r>
        <w:rPr>
          <w:rStyle w:val="SourceText"/>
        </w:rPr>
        <w:t>SHOULD</w:t>
      </w:r>
      <w:r>
        <w:rPr/>
        <w:t xml:space="preserve"> make it possible to express:</w:t>
      </w:r>
    </w:p>
    <w:p>
      <w:pPr>
        <w:pStyle w:val="BodyText"/>
        <w:numPr>
          <w:ilvl w:val="0"/>
          <w:numId w:val="51"/>
        </w:numPr>
        <w:tabs>
          <w:tab w:val="clear" w:pos="1134"/>
          <w:tab w:val="left" w:pos="709" w:leader="none"/>
        </w:tabs>
        <w:bidi w:val="0"/>
        <w:spacing w:before="0" w:after="0"/>
        <w:ind w:hanging="283" w:left="709"/>
        <w:jc w:val="left"/>
        <w:rPr/>
      </w:pPr>
      <w:r>
        <w:rPr/>
        <w:t xml:space="preserve">applicable business archetypes or sectors </w:t>
      </w:r>
    </w:p>
    <w:p>
      <w:pPr>
        <w:pStyle w:val="BodyText"/>
        <w:numPr>
          <w:ilvl w:val="0"/>
          <w:numId w:val="51"/>
        </w:numPr>
        <w:tabs>
          <w:tab w:val="clear" w:pos="1134"/>
          <w:tab w:val="left" w:pos="709" w:leader="none"/>
        </w:tabs>
        <w:bidi w:val="0"/>
        <w:spacing w:before="0" w:after="0"/>
        <w:ind w:hanging="283" w:left="709"/>
        <w:jc w:val="left"/>
        <w:rPr/>
      </w:pPr>
      <w:r>
        <w:rPr/>
        <w:t xml:space="preserve">applicable operating-model classes </w:t>
      </w:r>
    </w:p>
    <w:p>
      <w:pPr>
        <w:pStyle w:val="BodyText"/>
        <w:numPr>
          <w:ilvl w:val="0"/>
          <w:numId w:val="51"/>
        </w:numPr>
        <w:tabs>
          <w:tab w:val="clear" w:pos="1134"/>
          <w:tab w:val="left" w:pos="709" w:leader="none"/>
        </w:tabs>
        <w:bidi w:val="0"/>
        <w:spacing w:before="0" w:after="0"/>
        <w:ind w:hanging="283" w:left="709"/>
        <w:jc w:val="left"/>
        <w:rPr/>
      </w:pPr>
      <w:r>
        <w:rPr/>
        <w:t xml:space="preserve">applicable workflow or task classes </w:t>
      </w:r>
    </w:p>
    <w:p>
      <w:pPr>
        <w:pStyle w:val="BodyText"/>
        <w:numPr>
          <w:ilvl w:val="0"/>
          <w:numId w:val="51"/>
        </w:numPr>
        <w:tabs>
          <w:tab w:val="clear" w:pos="1134"/>
          <w:tab w:val="left" w:pos="709" w:leader="none"/>
        </w:tabs>
        <w:bidi w:val="0"/>
        <w:spacing w:before="0" w:after="0"/>
        <w:ind w:hanging="283" w:left="709"/>
        <w:jc w:val="left"/>
        <w:rPr/>
      </w:pPr>
      <w:r>
        <w:rPr/>
        <w:t xml:space="preserve">applicable data classes </w:t>
      </w:r>
    </w:p>
    <w:p>
      <w:pPr>
        <w:pStyle w:val="BodyText"/>
        <w:numPr>
          <w:ilvl w:val="0"/>
          <w:numId w:val="51"/>
        </w:numPr>
        <w:tabs>
          <w:tab w:val="clear" w:pos="1134"/>
          <w:tab w:val="left" w:pos="709" w:leader="none"/>
        </w:tabs>
        <w:bidi w:val="0"/>
        <w:spacing w:before="0" w:after="0"/>
        <w:ind w:hanging="283" w:left="709"/>
        <w:jc w:val="left"/>
        <w:rPr/>
      </w:pPr>
      <w:r>
        <w:rPr/>
        <w:t xml:space="preserve">required oversight or </w:t>
      </w:r>
      <w:r>
        <w:rPr>
          <w:rStyle w:val="SourceText"/>
        </w:rPr>
        <w:t>HITL</w:t>
      </w:r>
      <w:r>
        <w:rPr/>
        <w:t xml:space="preserve"> posture </w:t>
      </w:r>
    </w:p>
    <w:p>
      <w:pPr>
        <w:pStyle w:val="BodyText"/>
        <w:numPr>
          <w:ilvl w:val="0"/>
          <w:numId w:val="51"/>
        </w:numPr>
        <w:tabs>
          <w:tab w:val="clear" w:pos="1134"/>
          <w:tab w:val="left" w:pos="709" w:leader="none"/>
        </w:tabs>
        <w:bidi w:val="0"/>
        <w:spacing w:before="0" w:after="0"/>
        <w:ind w:hanging="283" w:left="709"/>
        <w:jc w:val="left"/>
        <w:rPr/>
      </w:pPr>
      <w:r>
        <w:rPr/>
        <w:t xml:space="preserve">excluded uses or prohibited contexts </w:t>
      </w:r>
    </w:p>
    <w:p>
      <w:pPr>
        <w:pStyle w:val="BodyText"/>
        <w:numPr>
          <w:ilvl w:val="0"/>
          <w:numId w:val="51"/>
        </w:numPr>
        <w:tabs>
          <w:tab w:val="clear" w:pos="1134"/>
          <w:tab w:val="left" w:pos="709" w:leader="none"/>
        </w:tabs>
        <w:bidi w:val="0"/>
        <w:ind w:hanging="283" w:left="709"/>
        <w:jc w:val="left"/>
        <w:rPr/>
      </w:pPr>
      <w:r>
        <w:rPr/>
        <w:t xml:space="preserve">jurisdictional or regulatory overlays where relevant </w:t>
      </w:r>
    </w:p>
    <w:p>
      <w:pPr>
        <w:pStyle w:val="BodyText"/>
        <w:bidi w:val="0"/>
        <w:jc w:val="left"/>
        <w:rPr/>
      </w:pPr>
      <w:r>
        <w:rPr/>
        <w:t xml:space="preserve">A </w:t>
      </w:r>
      <w:r>
        <w:rPr>
          <w:rStyle w:val="SourceText"/>
        </w:rPr>
        <w:t>job-qualification</w:t>
      </w:r>
      <w:r>
        <w:rPr/>
        <w:t xml:space="preserve"> badge </w:t>
      </w:r>
      <w:r>
        <w:rPr>
          <w:rStyle w:val="SourceText"/>
        </w:rPr>
        <w:t>MUST</w:t>
      </w:r>
      <w:r>
        <w:rPr/>
        <w:t xml:space="preserve"> additionally identify:</w:t>
      </w:r>
    </w:p>
    <w:p>
      <w:pPr>
        <w:pStyle w:val="BodyText"/>
        <w:numPr>
          <w:ilvl w:val="0"/>
          <w:numId w:val="52"/>
        </w:numPr>
        <w:tabs>
          <w:tab w:val="clear" w:pos="1134"/>
          <w:tab w:val="left" w:pos="709" w:leader="none"/>
        </w:tabs>
        <w:bidi w:val="0"/>
        <w:spacing w:before="0" w:after="0"/>
        <w:ind w:hanging="283" w:left="709"/>
        <w:jc w:val="left"/>
        <w:rPr/>
      </w:pPr>
      <w:r>
        <w:rPr/>
        <w:t xml:space="preserve">the qualification scheme and job-profile version </w:t>
      </w:r>
    </w:p>
    <w:p>
      <w:pPr>
        <w:pStyle w:val="BodyText"/>
        <w:numPr>
          <w:ilvl w:val="0"/>
          <w:numId w:val="52"/>
        </w:numPr>
        <w:tabs>
          <w:tab w:val="clear" w:pos="1134"/>
          <w:tab w:val="left" w:pos="709" w:leader="none"/>
        </w:tabs>
        <w:bidi w:val="0"/>
        <w:spacing w:before="0" w:after="0"/>
        <w:ind w:hanging="283" w:left="709"/>
        <w:jc w:val="left"/>
        <w:rPr/>
      </w:pPr>
      <w:r>
        <w:rPr/>
        <w:t xml:space="preserve">the assessed operating-profile fingerprint </w:t>
      </w:r>
    </w:p>
    <w:p>
      <w:pPr>
        <w:pStyle w:val="BodyText"/>
        <w:numPr>
          <w:ilvl w:val="0"/>
          <w:numId w:val="52"/>
        </w:numPr>
        <w:tabs>
          <w:tab w:val="clear" w:pos="1134"/>
          <w:tab w:val="left" w:pos="709" w:leader="none"/>
        </w:tabs>
        <w:bidi w:val="0"/>
        <w:spacing w:before="0" w:after="0"/>
        <w:ind w:hanging="283" w:left="709"/>
        <w:jc w:val="left"/>
        <w:rPr/>
      </w:pPr>
      <w:r>
        <w:rPr/>
        <w:t xml:space="preserve">qualified activities and explicit exclusions </w:t>
      </w:r>
    </w:p>
    <w:p>
      <w:pPr>
        <w:pStyle w:val="BodyText"/>
        <w:numPr>
          <w:ilvl w:val="0"/>
          <w:numId w:val="52"/>
        </w:numPr>
        <w:tabs>
          <w:tab w:val="clear" w:pos="1134"/>
          <w:tab w:val="left" w:pos="709" w:leader="none"/>
        </w:tabs>
        <w:bidi w:val="0"/>
        <w:spacing w:before="0" w:after="0"/>
        <w:ind w:hanging="283" w:left="709"/>
        <w:jc w:val="left"/>
        <w:rPr/>
      </w:pPr>
      <w:r>
        <w:rPr/>
        <w:t xml:space="preserve">applicable tools, data classes, risk classes, jurisdictions, and deployment constraints </w:t>
      </w:r>
    </w:p>
    <w:p>
      <w:pPr>
        <w:pStyle w:val="BodyText"/>
        <w:numPr>
          <w:ilvl w:val="0"/>
          <w:numId w:val="52"/>
        </w:numPr>
        <w:tabs>
          <w:tab w:val="clear" w:pos="1134"/>
          <w:tab w:val="left" w:pos="709" w:leader="none"/>
        </w:tabs>
        <w:bidi w:val="0"/>
        <w:spacing w:before="0" w:after="0"/>
        <w:ind w:hanging="283" w:left="709"/>
        <w:jc w:val="left"/>
        <w:rPr/>
      </w:pPr>
      <w:r>
        <w:rPr/>
        <w:t xml:space="preserve">the maximum autonomy tier supported by the qualification evidence </w:t>
      </w:r>
    </w:p>
    <w:p>
      <w:pPr>
        <w:pStyle w:val="BodyText"/>
        <w:numPr>
          <w:ilvl w:val="0"/>
          <w:numId w:val="52"/>
        </w:numPr>
        <w:tabs>
          <w:tab w:val="clear" w:pos="1134"/>
          <w:tab w:val="left" w:pos="709" w:leader="none"/>
        </w:tabs>
        <w:bidi w:val="0"/>
        <w:spacing w:before="0" w:after="0"/>
        <w:ind w:hanging="283" w:left="709"/>
        <w:jc w:val="left"/>
        <w:rPr/>
      </w:pPr>
      <w:r>
        <w:rPr/>
        <w:t xml:space="preserve">issue, expiry or review, surveillance, and status references </w:t>
      </w:r>
    </w:p>
    <w:p>
      <w:pPr>
        <w:pStyle w:val="BodyText"/>
        <w:numPr>
          <w:ilvl w:val="0"/>
          <w:numId w:val="52"/>
        </w:numPr>
        <w:tabs>
          <w:tab w:val="clear" w:pos="1134"/>
          <w:tab w:val="left" w:pos="709" w:leader="none"/>
        </w:tabs>
        <w:bidi w:val="0"/>
        <w:ind w:hanging="283" w:left="709"/>
        <w:jc w:val="left"/>
        <w:rPr/>
      </w:pPr>
      <w:r>
        <w:rPr/>
        <w:t xml:space="preserve">evidence and evaluator identity appropriate to the claimed assurance level </w:t>
      </w:r>
    </w:p>
    <w:p>
      <w:pPr>
        <w:pStyle w:val="Heading3"/>
        <w:bidi w:val="0"/>
        <w:jc w:val="left"/>
        <w:rPr/>
      </w:pPr>
      <w:r>
        <w:rPr/>
        <w:t>8.4 Assurance Levels</w:t>
      </w:r>
    </w:p>
    <w:p>
      <w:pPr>
        <w:pStyle w:val="BodyText"/>
        <w:bidi w:val="0"/>
        <w:jc w:val="left"/>
        <w:rPr/>
      </w:pPr>
      <w:r>
        <w:rPr/>
        <w:t xml:space="preserve">At minimum, the following assurance levels </w:t>
      </w:r>
      <w:r>
        <w:rPr>
          <w:rStyle w:val="SourceText"/>
        </w:rPr>
        <w:t>MUST</w:t>
      </w:r>
      <w:r>
        <w:rPr/>
        <w:t xml:space="preserve"> be supported:</w:t>
      </w:r>
    </w:p>
    <w:tbl>
      <w:tblPr>
        <w:tblW w:w="13370" w:type="dxa"/>
        <w:jc w:val="left"/>
        <w:tblInd w:w="0" w:type="dxa"/>
        <w:tblLayout w:type="fixed"/>
        <w:tblCellMar>
          <w:top w:w="28" w:type="dxa"/>
          <w:left w:w="28" w:type="dxa"/>
          <w:bottom w:w="28" w:type="dxa"/>
          <w:right w:w="28" w:type="dxa"/>
        </w:tblCellMar>
      </w:tblPr>
      <w:tblGrid>
        <w:gridCol w:w="3289"/>
        <w:gridCol w:w="10081"/>
      </w:tblGrid>
      <w:tr>
        <w:trPr>
          <w:tblHeader w:val="true"/>
        </w:trPr>
        <w:tc>
          <w:tcPr>
            <w:tcW w:w="3289" w:type="dxa"/>
            <w:tcBorders/>
            <w:vAlign w:val="center"/>
          </w:tcPr>
          <w:p>
            <w:pPr>
              <w:pStyle w:val="TableHeading"/>
              <w:suppressLineNumbers/>
              <w:bidi w:val="0"/>
              <w:spacing w:before="0" w:after="283"/>
              <w:jc w:val="center"/>
              <w:rPr/>
            </w:pPr>
            <w:r>
              <w:rPr/>
              <w:t>Level</w:t>
            </w:r>
          </w:p>
        </w:tc>
        <w:tc>
          <w:tcPr>
            <w:tcW w:w="10081" w:type="dxa"/>
            <w:tcBorders/>
            <w:vAlign w:val="center"/>
          </w:tcPr>
          <w:p>
            <w:pPr>
              <w:pStyle w:val="TableHeading"/>
              <w:suppressLineNumbers/>
              <w:bidi w:val="0"/>
              <w:spacing w:before="0" w:after="283"/>
              <w:jc w:val="center"/>
              <w:rPr/>
            </w:pPr>
            <w:r>
              <w:rPr/>
              <w:t>Meaning</w:t>
            </w:r>
          </w:p>
        </w:tc>
      </w:tr>
      <w:tr>
        <w:trPr/>
        <w:tc>
          <w:tcPr>
            <w:tcW w:w="3289" w:type="dxa"/>
            <w:tcBorders/>
            <w:vAlign w:val="center"/>
          </w:tcPr>
          <w:p>
            <w:pPr>
              <w:pStyle w:val="TableContents"/>
              <w:bidi w:val="0"/>
              <w:spacing w:before="0" w:after="283"/>
              <w:jc w:val="left"/>
              <w:rPr/>
            </w:pPr>
            <w:r>
              <w:rPr>
                <w:rStyle w:val="SourceText"/>
              </w:rPr>
              <w:t>self-asserted</w:t>
            </w:r>
          </w:p>
        </w:tc>
        <w:tc>
          <w:tcPr>
            <w:tcW w:w="10081" w:type="dxa"/>
            <w:tcBorders/>
            <w:vAlign w:val="center"/>
          </w:tcPr>
          <w:p>
            <w:pPr>
              <w:pStyle w:val="TableContents"/>
              <w:bidi w:val="0"/>
              <w:spacing w:before="0" w:after="283"/>
              <w:jc w:val="left"/>
              <w:rPr/>
            </w:pPr>
            <w:r>
              <w:rPr/>
              <w:t>Claim made by the agent operator or issuer without independent verification</w:t>
            </w:r>
          </w:p>
        </w:tc>
      </w:tr>
      <w:tr>
        <w:trPr/>
        <w:tc>
          <w:tcPr>
            <w:tcW w:w="3289" w:type="dxa"/>
            <w:tcBorders/>
            <w:vAlign w:val="center"/>
          </w:tcPr>
          <w:p>
            <w:pPr>
              <w:pStyle w:val="TableContents"/>
              <w:bidi w:val="0"/>
              <w:spacing w:before="0" w:after="283"/>
              <w:jc w:val="left"/>
              <w:rPr/>
            </w:pPr>
            <w:r>
              <w:rPr>
                <w:rStyle w:val="SourceText"/>
              </w:rPr>
              <w:t>org-attested</w:t>
            </w:r>
          </w:p>
        </w:tc>
        <w:tc>
          <w:tcPr>
            <w:tcW w:w="10081" w:type="dxa"/>
            <w:tcBorders/>
            <w:vAlign w:val="center"/>
          </w:tcPr>
          <w:p>
            <w:pPr>
              <w:pStyle w:val="TableContents"/>
              <w:bidi w:val="0"/>
              <w:spacing w:before="0" w:after="283"/>
              <w:jc w:val="left"/>
              <w:rPr/>
            </w:pPr>
            <w:r>
              <w:rPr/>
              <w:t>Claim reviewed and attested by the operating organization</w:t>
            </w:r>
          </w:p>
        </w:tc>
      </w:tr>
      <w:tr>
        <w:trPr/>
        <w:tc>
          <w:tcPr>
            <w:tcW w:w="3289" w:type="dxa"/>
            <w:tcBorders/>
            <w:vAlign w:val="center"/>
          </w:tcPr>
          <w:p>
            <w:pPr>
              <w:pStyle w:val="TableContents"/>
              <w:bidi w:val="0"/>
              <w:spacing w:before="0" w:after="283"/>
              <w:jc w:val="left"/>
              <w:rPr/>
            </w:pPr>
            <w:r>
              <w:rPr>
                <w:rStyle w:val="SourceText"/>
              </w:rPr>
              <w:t>independently-assessed</w:t>
            </w:r>
          </w:p>
        </w:tc>
        <w:tc>
          <w:tcPr>
            <w:tcW w:w="10081" w:type="dxa"/>
            <w:tcBorders/>
            <w:vAlign w:val="center"/>
          </w:tcPr>
          <w:p>
            <w:pPr>
              <w:pStyle w:val="TableContents"/>
              <w:bidi w:val="0"/>
              <w:spacing w:before="0" w:after="283"/>
              <w:jc w:val="left"/>
              <w:rPr/>
            </w:pPr>
            <w:r>
              <w:rPr/>
              <w:t>Claim assessed by an independent assessor but not necessarily within an accredited certification regime</w:t>
            </w:r>
          </w:p>
        </w:tc>
      </w:tr>
      <w:tr>
        <w:trPr/>
        <w:tc>
          <w:tcPr>
            <w:tcW w:w="3289" w:type="dxa"/>
            <w:tcBorders/>
            <w:vAlign w:val="center"/>
          </w:tcPr>
          <w:p>
            <w:pPr>
              <w:pStyle w:val="TableContents"/>
              <w:bidi w:val="0"/>
              <w:spacing w:before="0" w:after="283"/>
              <w:jc w:val="left"/>
              <w:rPr/>
            </w:pPr>
            <w:r>
              <w:rPr>
                <w:rStyle w:val="SourceText"/>
              </w:rPr>
              <w:t>accredited-certified</w:t>
            </w:r>
          </w:p>
        </w:tc>
        <w:tc>
          <w:tcPr>
            <w:tcW w:w="10081" w:type="dxa"/>
            <w:tcBorders/>
            <w:vAlign w:val="center"/>
          </w:tcPr>
          <w:p>
            <w:pPr>
              <w:pStyle w:val="TableContents"/>
              <w:bidi w:val="0"/>
              <w:spacing w:before="0" w:after="283"/>
              <w:jc w:val="left"/>
              <w:rPr/>
            </w:pPr>
            <w:r>
              <w:rPr/>
              <w:t>Claim assessed under a recognized accredited certification or recognized public-assurance regime</w:t>
            </w:r>
          </w:p>
        </w:tc>
      </w:tr>
    </w:tbl>
    <w:p>
      <w:pPr>
        <w:pStyle w:val="BodyText"/>
        <w:bidi w:val="0"/>
        <w:jc w:val="left"/>
        <w:rPr/>
      </w:pPr>
      <w:r>
        <w:rPr/>
        <w:t xml:space="preserve">An issuer </w:t>
      </w:r>
      <w:r>
        <w:rPr>
          <w:rStyle w:val="SourceText"/>
        </w:rPr>
        <w:t>MUST NOT</w:t>
      </w:r>
      <w:r>
        <w:rPr/>
        <w:t xml:space="preserve"> present a self-asserted claim as if it were independently-assessed or accredited-certified.</w:t>
      </w:r>
    </w:p>
    <w:p>
      <w:pPr>
        <w:pStyle w:val="Heading3"/>
        <w:bidi w:val="0"/>
        <w:jc w:val="left"/>
        <w:rPr/>
      </w:pPr>
      <w:r>
        <w:rPr/>
        <w:t>8.5 Benchmark and Disclosure Claims</w:t>
      </w:r>
    </w:p>
    <w:p>
      <w:pPr>
        <w:pStyle w:val="BodyText"/>
        <w:bidi w:val="0"/>
        <w:jc w:val="left"/>
        <w:rPr/>
      </w:pPr>
      <w:r>
        <w:rPr/>
        <w:t xml:space="preserve">If a badge claims a measured capability or operating limit, the badge </w:t>
      </w:r>
      <w:r>
        <w:rPr>
          <w:rStyle w:val="SourceText"/>
        </w:rPr>
        <w:t>SHOULD</w:t>
      </w:r>
      <w:r>
        <w:rPr/>
        <w:t xml:space="preserve"> identify the basis for that claim, such as:</w:t>
      </w:r>
    </w:p>
    <w:p>
      <w:pPr>
        <w:pStyle w:val="BodyText"/>
        <w:numPr>
          <w:ilvl w:val="0"/>
          <w:numId w:val="53"/>
        </w:numPr>
        <w:tabs>
          <w:tab w:val="clear" w:pos="1134"/>
          <w:tab w:val="left" w:pos="709" w:leader="none"/>
        </w:tabs>
        <w:bidi w:val="0"/>
        <w:spacing w:before="0" w:after="0"/>
        <w:ind w:hanging="283" w:left="709"/>
        <w:jc w:val="left"/>
        <w:rPr/>
      </w:pPr>
      <w:r>
        <w:rPr/>
        <w:t xml:space="preserve">benchmark or evaluation suite </w:t>
      </w:r>
    </w:p>
    <w:p>
      <w:pPr>
        <w:pStyle w:val="BodyText"/>
        <w:numPr>
          <w:ilvl w:val="0"/>
          <w:numId w:val="53"/>
        </w:numPr>
        <w:tabs>
          <w:tab w:val="clear" w:pos="1134"/>
          <w:tab w:val="left" w:pos="709" w:leader="none"/>
        </w:tabs>
        <w:bidi w:val="0"/>
        <w:spacing w:before="0" w:after="0"/>
        <w:ind w:hanging="283" w:left="709"/>
        <w:jc w:val="left"/>
        <w:rPr/>
      </w:pPr>
      <w:r>
        <w:rPr/>
        <w:t xml:space="preserve">test date </w:t>
      </w:r>
    </w:p>
    <w:p>
      <w:pPr>
        <w:pStyle w:val="BodyText"/>
        <w:numPr>
          <w:ilvl w:val="0"/>
          <w:numId w:val="53"/>
        </w:numPr>
        <w:tabs>
          <w:tab w:val="clear" w:pos="1134"/>
          <w:tab w:val="left" w:pos="709" w:leader="none"/>
        </w:tabs>
        <w:bidi w:val="0"/>
        <w:spacing w:before="0" w:after="0"/>
        <w:ind w:hanging="283" w:left="709"/>
        <w:jc w:val="left"/>
        <w:rPr/>
      </w:pPr>
      <w:r>
        <w:rPr/>
        <w:t xml:space="preserve">model version </w:t>
      </w:r>
    </w:p>
    <w:p>
      <w:pPr>
        <w:pStyle w:val="BodyText"/>
        <w:numPr>
          <w:ilvl w:val="0"/>
          <w:numId w:val="53"/>
        </w:numPr>
        <w:tabs>
          <w:tab w:val="clear" w:pos="1134"/>
          <w:tab w:val="left" w:pos="709" w:leader="none"/>
        </w:tabs>
        <w:bidi w:val="0"/>
        <w:spacing w:before="0" w:after="0"/>
        <w:ind w:hanging="283" w:left="709"/>
        <w:jc w:val="left"/>
        <w:rPr/>
      </w:pPr>
      <w:r>
        <w:rPr/>
        <w:t xml:space="preserve">tool set under test </w:t>
      </w:r>
    </w:p>
    <w:p>
      <w:pPr>
        <w:pStyle w:val="BodyText"/>
        <w:numPr>
          <w:ilvl w:val="0"/>
          <w:numId w:val="53"/>
        </w:numPr>
        <w:tabs>
          <w:tab w:val="clear" w:pos="1134"/>
          <w:tab w:val="left" w:pos="709" w:leader="none"/>
        </w:tabs>
        <w:bidi w:val="0"/>
        <w:spacing w:before="0" w:after="0"/>
        <w:ind w:hanging="283" w:left="709"/>
        <w:jc w:val="left"/>
        <w:rPr/>
      </w:pPr>
      <w:r>
        <w:rPr/>
        <w:t xml:space="preserve">token or context assumptions </w:t>
      </w:r>
    </w:p>
    <w:p>
      <w:pPr>
        <w:pStyle w:val="BodyText"/>
        <w:numPr>
          <w:ilvl w:val="0"/>
          <w:numId w:val="53"/>
        </w:numPr>
        <w:tabs>
          <w:tab w:val="clear" w:pos="1134"/>
          <w:tab w:val="left" w:pos="709" w:leader="none"/>
        </w:tabs>
        <w:bidi w:val="0"/>
        <w:ind w:hanging="283" w:left="709"/>
        <w:jc w:val="left"/>
        <w:rPr/>
      </w:pPr>
      <w:r>
        <w:rPr/>
        <w:t xml:space="preserve">failure rate, calibration threshold, or success threshold </w:t>
      </w:r>
    </w:p>
    <w:p>
      <w:pPr>
        <w:pStyle w:val="BodyText"/>
        <w:bidi w:val="0"/>
        <w:jc w:val="left"/>
        <w:rPr/>
      </w:pPr>
      <w:r>
        <w:rPr/>
        <w:t>Examples include:</w:t>
      </w:r>
    </w:p>
    <w:p>
      <w:pPr>
        <w:pStyle w:val="BodyText"/>
        <w:numPr>
          <w:ilvl w:val="0"/>
          <w:numId w:val="54"/>
        </w:numPr>
        <w:tabs>
          <w:tab w:val="clear" w:pos="1134"/>
          <w:tab w:val="left" w:pos="709" w:leader="none"/>
        </w:tabs>
        <w:bidi w:val="0"/>
        <w:spacing w:before="0" w:after="0"/>
        <w:ind w:hanging="283" w:left="709"/>
        <w:jc w:val="left"/>
        <w:rPr/>
      </w:pPr>
      <w:r>
        <w:rPr/>
        <w:t xml:space="preserve">maximum recommended task horizon </w:t>
      </w:r>
    </w:p>
    <w:p>
      <w:pPr>
        <w:pStyle w:val="BodyText"/>
        <w:numPr>
          <w:ilvl w:val="0"/>
          <w:numId w:val="54"/>
        </w:numPr>
        <w:tabs>
          <w:tab w:val="clear" w:pos="1134"/>
          <w:tab w:val="left" w:pos="709" w:leader="none"/>
        </w:tabs>
        <w:bidi w:val="0"/>
        <w:spacing w:before="0" w:after="0"/>
        <w:ind w:hanging="283" w:left="709"/>
        <w:jc w:val="left"/>
        <w:rPr/>
      </w:pPr>
      <w:r>
        <w:rPr/>
        <w:t xml:space="preserve">observed tool-use success rate </w:t>
      </w:r>
    </w:p>
    <w:p>
      <w:pPr>
        <w:pStyle w:val="BodyText"/>
        <w:numPr>
          <w:ilvl w:val="0"/>
          <w:numId w:val="54"/>
        </w:numPr>
        <w:tabs>
          <w:tab w:val="clear" w:pos="1134"/>
          <w:tab w:val="left" w:pos="709" w:leader="none"/>
        </w:tabs>
        <w:bidi w:val="0"/>
        <w:spacing w:before="0" w:after="0"/>
        <w:ind w:hanging="283" w:left="709"/>
        <w:jc w:val="left"/>
        <w:rPr/>
      </w:pPr>
      <w:r>
        <w:rPr/>
        <w:t xml:space="preserve">effective context-window utilization under declared conditions </w:t>
      </w:r>
    </w:p>
    <w:p>
      <w:pPr>
        <w:pStyle w:val="BodyText"/>
        <w:numPr>
          <w:ilvl w:val="0"/>
          <w:numId w:val="54"/>
        </w:numPr>
        <w:tabs>
          <w:tab w:val="clear" w:pos="1134"/>
          <w:tab w:val="left" w:pos="709" w:leader="none"/>
        </w:tabs>
        <w:bidi w:val="0"/>
        <w:spacing w:before="0" w:after="0"/>
        <w:ind w:hanging="283" w:left="709"/>
        <w:jc w:val="left"/>
        <w:rPr/>
      </w:pPr>
      <w:r>
        <w:rPr/>
        <w:t xml:space="preserve">hallucination or fabrication rate under defined tests </w:t>
      </w:r>
    </w:p>
    <w:p>
      <w:pPr>
        <w:pStyle w:val="BodyText"/>
        <w:numPr>
          <w:ilvl w:val="0"/>
          <w:numId w:val="54"/>
        </w:numPr>
        <w:tabs>
          <w:tab w:val="clear" w:pos="1134"/>
          <w:tab w:val="left" w:pos="709" w:leader="none"/>
        </w:tabs>
        <w:bidi w:val="0"/>
        <w:ind w:hanging="283" w:left="709"/>
        <w:jc w:val="left"/>
        <w:rPr/>
      </w:pPr>
      <w:r>
        <w:rPr/>
        <w:t xml:space="preserve">known limits or exclusions </w:t>
      </w:r>
    </w:p>
    <w:p>
      <w:pPr>
        <w:pStyle w:val="BodyText"/>
        <w:bidi w:val="0"/>
        <w:jc w:val="left"/>
        <w:rPr/>
      </w:pPr>
      <w:r>
        <w:rPr/>
        <w:t xml:space="preserve">A generic model benchmark, model card, system card, or successful demonstration in another job </w:t>
      </w:r>
      <w:r>
        <w:rPr>
          <w:rStyle w:val="SourceText"/>
        </w:rPr>
        <w:t>MUST NOT</w:t>
      </w:r>
      <w:r>
        <w:rPr/>
        <w:t xml:space="preserve"> by itself be represented as job qualification. A job-qualification claim </w:t>
      </w:r>
      <w:r>
        <w:rPr>
          <w:rStyle w:val="SourceText"/>
        </w:rPr>
        <w:t>MUST</w:t>
      </w:r>
      <w:r>
        <w:rPr/>
        <w:t xml:space="preserve"> be supported by evidence for the identified operating profile under representative job, tool, data, workflow, and consequence conditions.</w:t>
      </w:r>
    </w:p>
    <w:p>
      <w:pPr>
        <w:pStyle w:val="BodyText"/>
        <w:bidi w:val="0"/>
        <w:jc w:val="left"/>
        <w:rPr/>
      </w:pPr>
      <w:r>
        <w:rPr/>
        <w:t xml:space="preserve">Where possible, the evidence model </w:t>
      </w:r>
      <w:r>
        <w:rPr>
          <w:rStyle w:val="SourceText"/>
        </w:rPr>
        <w:t>SHOULD</w:t>
      </w:r>
      <w:r>
        <w:rPr/>
        <w:t xml:space="preserve"> reuse adjacent standards and recognized evidence artifacts such as:</w:t>
      </w:r>
    </w:p>
    <w:p>
      <w:pPr>
        <w:pStyle w:val="BodyText"/>
        <w:numPr>
          <w:ilvl w:val="0"/>
          <w:numId w:val="55"/>
        </w:numPr>
        <w:tabs>
          <w:tab w:val="clear" w:pos="1134"/>
          <w:tab w:val="left" w:pos="709" w:leader="none"/>
        </w:tabs>
        <w:bidi w:val="0"/>
        <w:spacing w:before="0" w:after="0"/>
        <w:ind w:hanging="283" w:left="709"/>
        <w:jc w:val="left"/>
        <w:rPr/>
      </w:pPr>
      <w:r>
        <w:rPr/>
        <w:t xml:space="preserve">model cards </w:t>
      </w:r>
    </w:p>
    <w:p>
      <w:pPr>
        <w:pStyle w:val="BodyText"/>
        <w:numPr>
          <w:ilvl w:val="0"/>
          <w:numId w:val="55"/>
        </w:numPr>
        <w:tabs>
          <w:tab w:val="clear" w:pos="1134"/>
          <w:tab w:val="left" w:pos="709" w:leader="none"/>
        </w:tabs>
        <w:bidi w:val="0"/>
        <w:spacing w:before="0" w:after="0"/>
        <w:ind w:hanging="283" w:left="709"/>
        <w:jc w:val="left"/>
        <w:rPr/>
      </w:pPr>
      <w:r>
        <w:rPr/>
        <w:t xml:space="preserve">benchmark or evaluation reports </w:t>
      </w:r>
    </w:p>
    <w:p>
      <w:pPr>
        <w:pStyle w:val="BodyText"/>
        <w:numPr>
          <w:ilvl w:val="0"/>
          <w:numId w:val="55"/>
        </w:numPr>
        <w:tabs>
          <w:tab w:val="clear" w:pos="1134"/>
          <w:tab w:val="left" w:pos="709" w:leader="none"/>
        </w:tabs>
        <w:bidi w:val="0"/>
        <w:spacing w:before="0" w:after="0"/>
        <w:ind w:hanging="283" w:left="709"/>
        <w:jc w:val="left"/>
        <w:rPr/>
      </w:pPr>
      <w:r>
        <w:rPr>
          <w:rStyle w:val="SourceText"/>
        </w:rPr>
        <w:t>VC</w:t>
      </w:r>
      <w:r>
        <w:rPr/>
        <w:t xml:space="preserve">-carried attestations </w:t>
      </w:r>
    </w:p>
    <w:p>
      <w:pPr>
        <w:pStyle w:val="BodyText"/>
        <w:numPr>
          <w:ilvl w:val="0"/>
          <w:numId w:val="55"/>
        </w:numPr>
        <w:tabs>
          <w:tab w:val="clear" w:pos="1134"/>
          <w:tab w:val="left" w:pos="709" w:leader="none"/>
        </w:tabs>
        <w:bidi w:val="0"/>
        <w:spacing w:before="0" w:after="0"/>
        <w:ind w:hanging="283" w:left="709"/>
        <w:jc w:val="left"/>
        <w:rPr/>
      </w:pPr>
      <w:r>
        <w:rPr>
          <w:rStyle w:val="SourceText"/>
        </w:rPr>
        <w:t>SPDX</w:t>
      </w:r>
      <w:r>
        <w:rPr/>
        <w:t xml:space="preserve">, </w:t>
      </w:r>
      <w:r>
        <w:rPr>
          <w:rStyle w:val="SourceText"/>
        </w:rPr>
        <w:t>CycloneDX</w:t>
      </w:r>
      <w:r>
        <w:rPr/>
        <w:t xml:space="preserve">, or </w:t>
      </w:r>
      <w:r>
        <w:rPr>
          <w:rStyle w:val="SourceText"/>
        </w:rPr>
        <w:t>purl</w:t>
      </w:r>
      <w:r>
        <w:rPr/>
        <w:t xml:space="preserve"> references for software and component identification </w:t>
      </w:r>
    </w:p>
    <w:p>
      <w:pPr>
        <w:pStyle w:val="BodyText"/>
        <w:numPr>
          <w:ilvl w:val="0"/>
          <w:numId w:val="55"/>
        </w:numPr>
        <w:tabs>
          <w:tab w:val="clear" w:pos="1134"/>
          <w:tab w:val="left" w:pos="709" w:leader="none"/>
        </w:tabs>
        <w:bidi w:val="0"/>
        <w:spacing w:before="0" w:after="0"/>
        <w:ind w:hanging="283" w:left="709"/>
        <w:jc w:val="left"/>
        <w:rPr/>
      </w:pPr>
      <w:r>
        <w:rPr>
          <w:rStyle w:val="SourceText"/>
        </w:rPr>
        <w:t>SLSA</w:t>
      </w:r>
      <w:r>
        <w:rPr/>
        <w:t xml:space="preserve"> or equivalent provenance statements </w:t>
      </w:r>
    </w:p>
    <w:p>
      <w:pPr>
        <w:pStyle w:val="BodyText"/>
        <w:numPr>
          <w:ilvl w:val="0"/>
          <w:numId w:val="55"/>
        </w:numPr>
        <w:tabs>
          <w:tab w:val="clear" w:pos="1134"/>
          <w:tab w:val="left" w:pos="709" w:leader="none"/>
        </w:tabs>
        <w:bidi w:val="0"/>
        <w:ind w:hanging="283" w:left="709"/>
        <w:jc w:val="left"/>
        <w:rPr/>
      </w:pPr>
      <w:r>
        <w:rPr/>
        <w:t xml:space="preserve">signed receipts and transparency-log references </w:t>
      </w:r>
    </w:p>
    <w:p>
      <w:pPr>
        <w:pStyle w:val="Heading3"/>
        <w:bidi w:val="0"/>
        <w:jc w:val="left"/>
        <w:rPr/>
      </w:pPr>
      <w:r>
        <w:rPr/>
        <w:t>8.6 Badge Freshness</w:t>
      </w:r>
    </w:p>
    <w:p>
      <w:pPr>
        <w:pStyle w:val="BodyText"/>
        <w:bidi w:val="0"/>
        <w:jc w:val="left"/>
        <w:rPr/>
      </w:pPr>
      <w:r>
        <w:rPr/>
        <w:t xml:space="preserve">Capability, safety, and fit-for-purpose badges </w:t>
      </w:r>
      <w:r>
        <w:rPr>
          <w:rStyle w:val="SourceText"/>
        </w:rPr>
        <w:t>SHOULD</w:t>
      </w:r>
      <w:r>
        <w:rPr/>
        <w:t xml:space="preserve"> expire or be reviewed on a defined cadence.</w:t>
      </w:r>
    </w:p>
    <w:p>
      <w:pPr>
        <w:pStyle w:val="BodyText"/>
        <w:bidi w:val="0"/>
        <w:jc w:val="left"/>
        <w:rPr/>
      </w:pPr>
      <w:r>
        <w:rPr/>
        <w:t xml:space="preserve">An issuer </w:t>
      </w:r>
      <w:r>
        <w:rPr>
          <w:rStyle w:val="SourceText"/>
        </w:rPr>
        <w:t>MUST NOT</w:t>
      </w:r>
      <w:r>
        <w:rPr/>
        <w:t xml:space="preserve"> continue to advertise stale badges as current once the underlying model, runtime, or tool surface has materially changed.</w:t>
      </w:r>
    </w:p>
    <w:p>
      <w:pPr>
        <w:pStyle w:val="Heading3"/>
        <w:bidi w:val="0"/>
        <w:jc w:val="left"/>
        <w:rPr/>
      </w:pPr>
      <w:r>
        <w:rPr/>
        <w:t>8.7 Badge Scope and Version Specificity</w:t>
      </w:r>
    </w:p>
    <w:p>
      <w:pPr>
        <w:pStyle w:val="BodyText"/>
        <w:bidi w:val="0"/>
        <w:jc w:val="left"/>
        <w:rPr/>
      </w:pPr>
      <w:r>
        <w:rPr/>
        <w:t xml:space="preserve">Badges </w:t>
      </w:r>
      <w:r>
        <w:rPr>
          <w:rStyle w:val="SourceText"/>
        </w:rPr>
        <w:t>SHOULD</w:t>
      </w:r>
      <w:r>
        <w:rPr/>
        <w:t xml:space="preserve"> attach to a governed operating state or profile version, not permanently to the </w:t>
      </w:r>
      <w:r>
        <w:rPr>
          <w:rStyle w:val="SourceText"/>
        </w:rPr>
        <w:t>GAID</w:t>
      </w:r>
      <w:r>
        <w:rPr/>
        <w:t xml:space="preserve"> in the abstract.</w:t>
      </w:r>
    </w:p>
    <w:p>
      <w:pPr>
        <w:pStyle w:val="BodyText"/>
        <w:bidi w:val="0"/>
        <w:jc w:val="left"/>
        <w:rPr/>
      </w:pPr>
      <w:r>
        <w:rPr/>
        <w:t>This is important because:</w:t>
      </w:r>
    </w:p>
    <w:p>
      <w:pPr>
        <w:pStyle w:val="BodyText"/>
        <w:numPr>
          <w:ilvl w:val="0"/>
          <w:numId w:val="56"/>
        </w:numPr>
        <w:tabs>
          <w:tab w:val="clear" w:pos="1134"/>
          <w:tab w:val="left" w:pos="709" w:leader="none"/>
        </w:tabs>
        <w:bidi w:val="0"/>
        <w:spacing w:before="0" w:after="0"/>
        <w:ind w:hanging="283" w:left="709"/>
        <w:jc w:val="left"/>
        <w:rPr/>
      </w:pPr>
      <w:r>
        <w:rPr/>
        <w:t xml:space="preserve">model behavior can improve </w:t>
      </w:r>
    </w:p>
    <w:p>
      <w:pPr>
        <w:pStyle w:val="BodyText"/>
        <w:numPr>
          <w:ilvl w:val="0"/>
          <w:numId w:val="56"/>
        </w:numPr>
        <w:tabs>
          <w:tab w:val="clear" w:pos="1134"/>
          <w:tab w:val="left" w:pos="709" w:leader="none"/>
        </w:tabs>
        <w:bidi w:val="0"/>
        <w:spacing w:before="0" w:after="0"/>
        <w:ind w:hanging="283" w:left="709"/>
        <w:jc w:val="left"/>
        <w:rPr/>
      </w:pPr>
      <w:r>
        <w:rPr/>
        <w:t xml:space="preserve">model behavior can degrade </w:t>
      </w:r>
    </w:p>
    <w:p>
      <w:pPr>
        <w:pStyle w:val="BodyText"/>
        <w:numPr>
          <w:ilvl w:val="0"/>
          <w:numId w:val="56"/>
        </w:numPr>
        <w:tabs>
          <w:tab w:val="clear" w:pos="1134"/>
          <w:tab w:val="left" w:pos="709" w:leader="none"/>
        </w:tabs>
        <w:bidi w:val="0"/>
        <w:spacing w:before="0" w:after="0"/>
        <w:ind w:hanging="283" w:left="709"/>
        <w:jc w:val="left"/>
        <w:rPr/>
      </w:pPr>
      <w:r>
        <w:rPr/>
        <w:t xml:space="preserve">tool-use capability can materially change </w:t>
      </w:r>
    </w:p>
    <w:p>
      <w:pPr>
        <w:pStyle w:val="BodyText"/>
        <w:numPr>
          <w:ilvl w:val="0"/>
          <w:numId w:val="56"/>
        </w:numPr>
        <w:tabs>
          <w:tab w:val="clear" w:pos="1134"/>
          <w:tab w:val="left" w:pos="709" w:leader="none"/>
        </w:tabs>
        <w:bidi w:val="0"/>
        <w:spacing w:before="0" w:after="0"/>
        <w:ind w:hanging="283" w:left="709"/>
        <w:jc w:val="left"/>
        <w:rPr/>
      </w:pPr>
      <w:r>
        <w:rPr/>
        <w:t xml:space="preserve">prompt or runtime changes can alter risk posture </w:t>
      </w:r>
    </w:p>
    <w:p>
      <w:pPr>
        <w:pStyle w:val="BodyText"/>
        <w:numPr>
          <w:ilvl w:val="0"/>
          <w:numId w:val="56"/>
        </w:numPr>
        <w:tabs>
          <w:tab w:val="clear" w:pos="1134"/>
          <w:tab w:val="left" w:pos="709" w:leader="none"/>
        </w:tabs>
        <w:bidi w:val="0"/>
        <w:ind w:hanging="283" w:left="709"/>
        <w:jc w:val="left"/>
        <w:rPr/>
      </w:pPr>
      <w:r>
        <w:rPr/>
        <w:t xml:space="preserve">a provider can silently alter behavior under the same marketed model line </w:t>
      </w:r>
    </w:p>
    <w:p>
      <w:pPr>
        <w:pStyle w:val="BodyText"/>
        <w:bidi w:val="0"/>
        <w:jc w:val="left"/>
        <w:rPr/>
      </w:pPr>
      <w:r>
        <w:rPr/>
        <w:t xml:space="preserve">An implementation </w:t>
      </w:r>
      <w:r>
        <w:rPr>
          <w:rStyle w:val="SourceText"/>
        </w:rPr>
        <w:t>SHOULD</w:t>
      </w:r>
      <w:r>
        <w:rPr/>
        <w:t xml:space="preserve"> therefore preserve:</w:t>
      </w:r>
    </w:p>
    <w:p>
      <w:pPr>
        <w:pStyle w:val="BodyText"/>
        <w:numPr>
          <w:ilvl w:val="0"/>
          <w:numId w:val="57"/>
        </w:numPr>
        <w:tabs>
          <w:tab w:val="clear" w:pos="1134"/>
          <w:tab w:val="left" w:pos="709" w:leader="none"/>
        </w:tabs>
        <w:bidi w:val="0"/>
        <w:spacing w:before="0" w:after="0"/>
        <w:ind w:hanging="283" w:left="709"/>
        <w:jc w:val="left"/>
        <w:rPr/>
      </w:pPr>
      <w:r>
        <w:rPr/>
        <w:t xml:space="preserve">the enduring </w:t>
      </w:r>
      <w:r>
        <w:rPr>
          <w:rStyle w:val="SourceText"/>
        </w:rPr>
        <w:t>GAID</w:t>
      </w:r>
      <w:r>
        <w:rPr/>
        <w:t xml:space="preserve"> </w:t>
      </w:r>
    </w:p>
    <w:p>
      <w:pPr>
        <w:pStyle w:val="BodyText"/>
        <w:numPr>
          <w:ilvl w:val="0"/>
          <w:numId w:val="57"/>
        </w:numPr>
        <w:tabs>
          <w:tab w:val="clear" w:pos="1134"/>
          <w:tab w:val="left" w:pos="709" w:leader="none"/>
        </w:tabs>
        <w:bidi w:val="0"/>
        <w:spacing w:before="0" w:after="0"/>
        <w:ind w:hanging="283" w:left="709"/>
        <w:jc w:val="left"/>
        <w:rPr/>
      </w:pPr>
      <w:r>
        <w:rPr/>
        <w:t xml:space="preserve">versioned operating-state history </w:t>
      </w:r>
    </w:p>
    <w:p>
      <w:pPr>
        <w:pStyle w:val="BodyText"/>
        <w:numPr>
          <w:ilvl w:val="0"/>
          <w:numId w:val="57"/>
        </w:numPr>
        <w:tabs>
          <w:tab w:val="clear" w:pos="1134"/>
          <w:tab w:val="left" w:pos="709" w:leader="none"/>
        </w:tabs>
        <w:bidi w:val="0"/>
        <w:ind w:hanging="283" w:left="709"/>
        <w:jc w:val="left"/>
        <w:rPr/>
      </w:pPr>
      <w:r>
        <w:rPr/>
        <w:t xml:space="preserve">badge history by operating-state version </w:t>
      </w:r>
    </w:p>
    <w:p>
      <w:pPr>
        <w:pStyle w:val="Heading3"/>
        <w:bidi w:val="0"/>
        <w:jc w:val="left"/>
        <w:rPr/>
      </w:pPr>
      <w:r>
        <w:rPr/>
        <w:t>8.8 Material Change and Badge Invalidation</w:t>
      </w:r>
    </w:p>
    <w:p>
      <w:pPr>
        <w:pStyle w:val="BodyText"/>
        <w:bidi w:val="0"/>
        <w:jc w:val="left"/>
        <w:rPr/>
      </w:pPr>
      <w:r>
        <w:rPr/>
        <w:t xml:space="preserve">When a material change occurs, affected badges </w:t>
      </w:r>
      <w:r>
        <w:rPr>
          <w:rStyle w:val="SourceText"/>
        </w:rPr>
        <w:t>MUST NOT</w:t>
      </w:r>
      <w:r>
        <w:rPr/>
        <w:t xml:space="preserve"> silently remain current unless policy and evidence explicitly justify doing so.</w:t>
      </w:r>
    </w:p>
    <w:p>
      <w:pPr>
        <w:pStyle w:val="BodyText"/>
        <w:bidi w:val="0"/>
        <w:jc w:val="left"/>
        <w:rPr/>
      </w:pPr>
      <w:r>
        <w:rPr/>
        <w:t xml:space="preserve">At minimum, a conforming implementation </w:t>
      </w:r>
      <w:r>
        <w:rPr>
          <w:rStyle w:val="SourceText"/>
        </w:rPr>
        <w:t>SHOULD</w:t>
      </w:r>
      <w:r>
        <w:rPr/>
        <w:t xml:space="preserve"> support badge states such as:</w:t>
      </w:r>
    </w:p>
    <w:p>
      <w:pPr>
        <w:pStyle w:val="BodyText"/>
        <w:numPr>
          <w:ilvl w:val="0"/>
          <w:numId w:val="58"/>
        </w:numPr>
        <w:tabs>
          <w:tab w:val="clear" w:pos="1134"/>
          <w:tab w:val="left" w:pos="709" w:leader="none"/>
        </w:tabs>
        <w:bidi w:val="0"/>
        <w:spacing w:before="0" w:after="0"/>
        <w:ind w:hanging="283" w:left="709"/>
        <w:jc w:val="left"/>
        <w:rPr/>
      </w:pPr>
      <w:r>
        <w:rPr>
          <w:rStyle w:val="SourceText"/>
        </w:rPr>
        <w:t>active</w:t>
      </w:r>
      <w:r>
        <w:rPr/>
        <w:t xml:space="preserve"> </w:t>
      </w:r>
    </w:p>
    <w:p>
      <w:pPr>
        <w:pStyle w:val="BodyText"/>
        <w:numPr>
          <w:ilvl w:val="0"/>
          <w:numId w:val="58"/>
        </w:numPr>
        <w:tabs>
          <w:tab w:val="clear" w:pos="1134"/>
          <w:tab w:val="left" w:pos="709" w:leader="none"/>
        </w:tabs>
        <w:bidi w:val="0"/>
        <w:spacing w:before="0" w:after="0"/>
        <w:ind w:hanging="283" w:left="709"/>
        <w:jc w:val="left"/>
        <w:rPr/>
      </w:pPr>
      <w:r>
        <w:rPr>
          <w:rStyle w:val="SourceText"/>
        </w:rPr>
        <w:t>pending-revalidation</w:t>
      </w:r>
      <w:r>
        <w:rPr/>
        <w:t xml:space="preserve"> </w:t>
      </w:r>
    </w:p>
    <w:p>
      <w:pPr>
        <w:pStyle w:val="BodyText"/>
        <w:numPr>
          <w:ilvl w:val="0"/>
          <w:numId w:val="58"/>
        </w:numPr>
        <w:tabs>
          <w:tab w:val="clear" w:pos="1134"/>
          <w:tab w:val="left" w:pos="709" w:leader="none"/>
        </w:tabs>
        <w:bidi w:val="0"/>
        <w:spacing w:before="0" w:after="0"/>
        <w:ind w:hanging="283" w:left="709"/>
        <w:jc w:val="left"/>
        <w:rPr/>
      </w:pPr>
      <w:r>
        <w:rPr>
          <w:rStyle w:val="SourceText"/>
        </w:rPr>
        <w:t>stale</w:t>
      </w:r>
      <w:r>
        <w:rPr/>
        <w:t xml:space="preserve"> </w:t>
      </w:r>
    </w:p>
    <w:p>
      <w:pPr>
        <w:pStyle w:val="BodyText"/>
        <w:numPr>
          <w:ilvl w:val="0"/>
          <w:numId w:val="58"/>
        </w:numPr>
        <w:tabs>
          <w:tab w:val="clear" w:pos="1134"/>
          <w:tab w:val="left" w:pos="709" w:leader="none"/>
        </w:tabs>
        <w:bidi w:val="0"/>
        <w:spacing w:before="0" w:after="0"/>
        <w:ind w:hanging="283" w:left="709"/>
        <w:jc w:val="left"/>
        <w:rPr/>
      </w:pPr>
      <w:r>
        <w:rPr>
          <w:rStyle w:val="SourceText"/>
        </w:rPr>
        <w:t>restricted</w:t>
      </w:r>
      <w:r>
        <w:rPr/>
        <w:t xml:space="preserve"> </w:t>
      </w:r>
    </w:p>
    <w:p>
      <w:pPr>
        <w:pStyle w:val="BodyText"/>
        <w:numPr>
          <w:ilvl w:val="0"/>
          <w:numId w:val="58"/>
        </w:numPr>
        <w:tabs>
          <w:tab w:val="clear" w:pos="1134"/>
          <w:tab w:val="left" w:pos="709" w:leader="none"/>
        </w:tabs>
        <w:bidi w:val="0"/>
        <w:ind w:hanging="283" w:left="709"/>
        <w:jc w:val="left"/>
        <w:rPr/>
      </w:pPr>
      <w:r>
        <w:rPr>
          <w:rStyle w:val="SourceText"/>
        </w:rPr>
        <w:t>revoked</w:t>
      </w:r>
      <w:r>
        <w:rPr/>
        <w:t xml:space="preserve"> </w:t>
      </w:r>
    </w:p>
    <w:p>
      <w:pPr>
        <w:pStyle w:val="BodyText"/>
        <w:bidi w:val="0"/>
        <w:jc w:val="left"/>
        <w:rPr/>
      </w:pPr>
      <w:r>
        <w:rPr/>
        <w:t>Material changes include, at minimum:</w:t>
      </w:r>
    </w:p>
    <w:p>
      <w:pPr>
        <w:pStyle w:val="BodyText"/>
        <w:numPr>
          <w:ilvl w:val="0"/>
          <w:numId w:val="59"/>
        </w:numPr>
        <w:tabs>
          <w:tab w:val="clear" w:pos="1134"/>
          <w:tab w:val="left" w:pos="709" w:leader="none"/>
        </w:tabs>
        <w:bidi w:val="0"/>
        <w:spacing w:before="0" w:after="0"/>
        <w:ind w:hanging="283" w:left="709"/>
        <w:jc w:val="left"/>
        <w:rPr/>
      </w:pPr>
      <w:r>
        <w:rPr/>
        <w:t xml:space="preserve">model or provider changes </w:t>
      </w:r>
    </w:p>
    <w:p>
      <w:pPr>
        <w:pStyle w:val="BodyText"/>
        <w:numPr>
          <w:ilvl w:val="0"/>
          <w:numId w:val="59"/>
        </w:numPr>
        <w:tabs>
          <w:tab w:val="clear" w:pos="1134"/>
          <w:tab w:val="left" w:pos="709" w:leader="none"/>
        </w:tabs>
        <w:bidi w:val="0"/>
        <w:spacing w:before="0" w:after="0"/>
        <w:ind w:hanging="283" w:left="709"/>
        <w:jc w:val="left"/>
        <w:rPr/>
      </w:pPr>
      <w:r>
        <w:rPr/>
        <w:t xml:space="preserve">prompt or instruction bundle changes </w:t>
      </w:r>
    </w:p>
    <w:p>
      <w:pPr>
        <w:pStyle w:val="BodyText"/>
        <w:numPr>
          <w:ilvl w:val="0"/>
          <w:numId w:val="59"/>
        </w:numPr>
        <w:tabs>
          <w:tab w:val="clear" w:pos="1134"/>
          <w:tab w:val="left" w:pos="709" w:leader="none"/>
        </w:tabs>
        <w:bidi w:val="0"/>
        <w:spacing w:before="0" w:after="0"/>
        <w:ind w:hanging="283" w:left="709"/>
        <w:jc w:val="left"/>
        <w:rPr/>
      </w:pPr>
      <w:r>
        <w:rPr/>
        <w:t xml:space="preserve">tool-surface changes </w:t>
      </w:r>
    </w:p>
    <w:p>
      <w:pPr>
        <w:pStyle w:val="BodyText"/>
        <w:numPr>
          <w:ilvl w:val="0"/>
          <w:numId w:val="59"/>
        </w:numPr>
        <w:tabs>
          <w:tab w:val="clear" w:pos="1134"/>
          <w:tab w:val="left" w:pos="709" w:leader="none"/>
        </w:tabs>
        <w:bidi w:val="0"/>
        <w:spacing w:before="0" w:after="0"/>
        <w:ind w:hanging="283" w:left="709"/>
        <w:jc w:val="left"/>
        <w:rPr/>
      </w:pPr>
      <w:r>
        <w:rPr/>
        <w:t xml:space="preserve">autonomy or governance changes </w:t>
      </w:r>
    </w:p>
    <w:p>
      <w:pPr>
        <w:pStyle w:val="BodyText"/>
        <w:numPr>
          <w:ilvl w:val="0"/>
          <w:numId w:val="59"/>
        </w:numPr>
        <w:tabs>
          <w:tab w:val="clear" w:pos="1134"/>
          <w:tab w:val="left" w:pos="709" w:leader="none"/>
        </w:tabs>
        <w:bidi w:val="0"/>
        <w:spacing w:before="0" w:after="0"/>
        <w:ind w:hanging="283" w:left="709"/>
        <w:jc w:val="left"/>
        <w:rPr/>
      </w:pPr>
      <w:r>
        <w:rPr/>
        <w:t xml:space="preserve">job-profile, qualification-scheme, profession-corpus, decision-axis, or assessment changes </w:t>
      </w:r>
    </w:p>
    <w:p>
      <w:pPr>
        <w:pStyle w:val="BodyText"/>
        <w:numPr>
          <w:ilvl w:val="0"/>
          <w:numId w:val="59"/>
        </w:numPr>
        <w:tabs>
          <w:tab w:val="clear" w:pos="1134"/>
          <w:tab w:val="left" w:pos="709" w:leader="none"/>
        </w:tabs>
        <w:bidi w:val="0"/>
        <w:spacing w:before="0" w:after="0"/>
        <w:ind w:hanging="283" w:left="709"/>
        <w:jc w:val="left"/>
        <w:rPr/>
      </w:pPr>
      <w:r>
        <w:rPr/>
        <w:t xml:space="preserve">routed-model eligibility, substitution-set, or routing-policy changes </w:t>
      </w:r>
    </w:p>
    <w:p>
      <w:pPr>
        <w:pStyle w:val="BodyText"/>
        <w:numPr>
          <w:ilvl w:val="0"/>
          <w:numId w:val="59"/>
        </w:numPr>
        <w:tabs>
          <w:tab w:val="clear" w:pos="1134"/>
          <w:tab w:val="left" w:pos="709" w:leader="none"/>
        </w:tabs>
        <w:bidi w:val="0"/>
        <w:spacing w:before="0" w:after="0"/>
        <w:ind w:hanging="283" w:left="709"/>
        <w:jc w:val="left"/>
        <w:rPr/>
      </w:pPr>
      <w:r>
        <w:rPr/>
        <w:t xml:space="preserve">data classification, permitted-use, residency, or stewarded quality changes </w:t>
      </w:r>
    </w:p>
    <w:p>
      <w:pPr>
        <w:pStyle w:val="BodyText"/>
        <w:numPr>
          <w:ilvl w:val="0"/>
          <w:numId w:val="59"/>
        </w:numPr>
        <w:tabs>
          <w:tab w:val="clear" w:pos="1134"/>
          <w:tab w:val="left" w:pos="709" w:leader="none"/>
        </w:tabs>
        <w:bidi w:val="0"/>
        <w:spacing w:before="0" w:after="0"/>
        <w:ind w:hanging="283" w:left="709"/>
        <w:jc w:val="left"/>
        <w:rPr/>
      </w:pPr>
      <w:r>
        <w:rPr/>
        <w:t xml:space="preserve">verification key, certificate, or credential-binding changes that affect identity, signing, or delegated authority </w:t>
      </w:r>
    </w:p>
    <w:p>
      <w:pPr>
        <w:pStyle w:val="BodyText"/>
        <w:numPr>
          <w:ilvl w:val="0"/>
          <w:numId w:val="59"/>
        </w:numPr>
        <w:tabs>
          <w:tab w:val="clear" w:pos="1134"/>
          <w:tab w:val="left" w:pos="709" w:leader="none"/>
        </w:tabs>
        <w:bidi w:val="0"/>
        <w:ind w:hanging="283" w:left="709"/>
        <w:jc w:val="left"/>
        <w:rPr/>
      </w:pPr>
      <w:r>
        <w:rPr/>
        <w:t xml:space="preserve">runtime dependency drift that alters practical capability or risk </w:t>
      </w:r>
    </w:p>
    <w:p>
      <w:pPr>
        <w:pStyle w:val="Heading3"/>
        <w:bidi w:val="0"/>
        <w:jc w:val="left"/>
        <w:rPr/>
      </w:pPr>
      <w:r>
        <w:rPr/>
        <w:t>8.9 Practical Capability Drift</w:t>
      </w:r>
    </w:p>
    <w:p>
      <w:pPr>
        <w:pStyle w:val="BodyText"/>
        <w:bidi w:val="0"/>
        <w:jc w:val="left"/>
        <w:rPr/>
      </w:pPr>
      <w:r>
        <w:rPr/>
        <w:t>This standard recognizes that provider-side or dependency-side behavior may change without a neatly versioned public release signal.</w:t>
      </w:r>
    </w:p>
    <w:p>
      <w:pPr>
        <w:pStyle w:val="BodyText"/>
        <w:bidi w:val="0"/>
        <w:jc w:val="left"/>
        <w:rPr/>
      </w:pPr>
      <w:r>
        <w:rPr/>
        <w:t xml:space="preserve">An implementation </w:t>
      </w:r>
      <w:r>
        <w:rPr>
          <w:rStyle w:val="SourceText"/>
        </w:rPr>
        <w:t>MUST NOT</w:t>
      </w:r>
      <w:r>
        <w:rPr/>
        <w:t xml:space="preserve"> assume that a stable model marketing name alone guarantees capability continuity.</w:t>
      </w:r>
    </w:p>
    <w:p>
      <w:pPr>
        <w:pStyle w:val="BodyText"/>
        <w:bidi w:val="0"/>
        <w:jc w:val="left"/>
        <w:rPr/>
      </w:pPr>
      <w:r>
        <w:rPr/>
        <w:t>Where meaningful drift is detected:</w:t>
      </w:r>
    </w:p>
    <w:p>
      <w:pPr>
        <w:pStyle w:val="BodyText"/>
        <w:numPr>
          <w:ilvl w:val="0"/>
          <w:numId w:val="60"/>
        </w:numPr>
        <w:tabs>
          <w:tab w:val="clear" w:pos="1134"/>
          <w:tab w:val="left" w:pos="709" w:leader="none"/>
        </w:tabs>
        <w:bidi w:val="0"/>
        <w:spacing w:before="0" w:after="0"/>
        <w:ind w:hanging="283" w:left="709"/>
        <w:jc w:val="left"/>
        <w:rPr/>
      </w:pPr>
      <w:r>
        <w:rPr/>
        <w:t xml:space="preserve">the relevant badge state </w:t>
      </w:r>
      <w:r>
        <w:rPr>
          <w:rStyle w:val="SourceText"/>
        </w:rPr>
        <w:t>SHOULD</w:t>
      </w:r>
      <w:r>
        <w:rPr/>
        <w:t xml:space="preserve"> change </w:t>
      </w:r>
    </w:p>
    <w:p>
      <w:pPr>
        <w:pStyle w:val="BodyText"/>
        <w:numPr>
          <w:ilvl w:val="0"/>
          <w:numId w:val="60"/>
        </w:numPr>
        <w:tabs>
          <w:tab w:val="clear" w:pos="1134"/>
          <w:tab w:val="left" w:pos="709" w:leader="none"/>
        </w:tabs>
        <w:bidi w:val="0"/>
        <w:spacing w:before="0" w:after="0"/>
        <w:ind w:hanging="283" w:left="709"/>
        <w:jc w:val="left"/>
        <w:rPr/>
      </w:pPr>
      <w:r>
        <w:rPr/>
        <w:t xml:space="preserve">the validation state </w:t>
      </w:r>
      <w:r>
        <w:rPr>
          <w:rStyle w:val="SourceText"/>
        </w:rPr>
        <w:t>SHOULD</w:t>
      </w:r>
      <w:r>
        <w:rPr/>
        <w:t xml:space="preserve"> become visible to relying parties </w:t>
      </w:r>
    </w:p>
    <w:p>
      <w:pPr>
        <w:pStyle w:val="BodyText"/>
        <w:numPr>
          <w:ilvl w:val="0"/>
          <w:numId w:val="60"/>
        </w:numPr>
        <w:tabs>
          <w:tab w:val="clear" w:pos="1134"/>
          <w:tab w:val="left" w:pos="709" w:leader="none"/>
        </w:tabs>
        <w:bidi w:val="0"/>
        <w:ind w:hanging="283" w:left="709"/>
        <w:jc w:val="left"/>
        <w:rPr/>
      </w:pPr>
      <w:r>
        <w:rPr/>
        <w:t xml:space="preserve">the prior capability claim </w:t>
      </w:r>
      <w:r>
        <w:rPr>
          <w:rStyle w:val="SourceText"/>
        </w:rPr>
        <w:t>MUST NOT</w:t>
      </w:r>
      <w:r>
        <w:rPr/>
        <w:t xml:space="preserve"> continue to be represented as fully current without revalidation </w:t>
      </w:r>
    </w:p>
    <w:p>
      <w:pPr>
        <w:pStyle w:val="BodyText"/>
        <w:bidi w:val="0"/>
        <w:jc w:val="left"/>
        <w:rPr/>
      </w:pPr>
      <w:r>
        <w:rPr/>
        <w:drawing>
          <wp:inline distT="0" distB="0" distL="0" distR="0">
            <wp:extent cx="12601575" cy="19888200"/>
            <wp:effectExtent l="0" t="0" r="0" b="0"/>
            <wp:docPr id="4" name="Image4" descr="GAID assurance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GAID assurance model"/>
                    <pic:cNvPicPr>
                      <a:picLocks noChangeAspect="1" noChangeArrowheads="1"/>
                    </pic:cNvPicPr>
                  </pic:nvPicPr>
                  <pic:blipFill>
                    <a:blip r:embed="rId67"/>
                    <a:stretch>
                      <a:fillRect/>
                    </a:stretch>
                  </pic:blipFill>
                  <pic:spPr bwMode="auto">
                    <a:xfrm>
                      <a:off x="0" y="0"/>
                      <a:ext cx="12601575" cy="19888200"/>
                    </a:xfrm>
                    <a:prstGeom prst="rect">
                      <a:avLst/>
                    </a:prstGeom>
                    <a:noFill/>
                  </pic:spPr>
                </pic:pic>
              </a:graphicData>
            </a:graphic>
          </wp:inline>
        </w:drawing>
      </w:r>
    </w:p>
    <w:p>
      <w:pPr>
        <w:pStyle w:val="BodyText"/>
        <w:bidi w:val="0"/>
        <w:jc w:val="left"/>
        <w:rPr/>
      </w:pPr>
      <w:r>
        <w:rPr>
          <w:rStyle w:val="Emphasis"/>
        </w:rPr>
        <w:t xml:space="preserve">Figure 4. </w:t>
      </w:r>
      <w:r>
        <w:rPr>
          <w:rStyle w:val="SourceText"/>
        </w:rPr>
        <w:t>GAID</w:t>
      </w:r>
      <w:r>
        <w:rPr>
          <w:rStyle w:val="Emphasis"/>
        </w:rPr>
        <w:t xml:space="preserve"> separates identity from the strength of evidence behind claims about that identity.</w:t>
      </w:r>
    </w:p>
    <w:p>
      <w:pPr>
        <w:pStyle w:val="Heading3"/>
        <w:bidi w:val="0"/>
        <w:jc w:val="left"/>
        <w:rPr/>
      </w:pPr>
      <w:r>
        <w:rPr/>
        <w:t>8.10 Archetype, Workflow, and Data-Scope Scrutiny</w:t>
      </w:r>
    </w:p>
    <w:p>
      <w:pPr>
        <w:pStyle w:val="BodyText"/>
        <w:bidi w:val="0"/>
        <w:jc w:val="left"/>
        <w:rPr/>
      </w:pPr>
      <w:r>
        <w:rPr>
          <w:rStyle w:val="SourceText"/>
        </w:rPr>
        <w:t>GAID</w:t>
      </w:r>
      <w:r>
        <w:rPr/>
        <w:t xml:space="preserve"> fit-for-purpose claims </w:t>
      </w:r>
      <w:r>
        <w:rPr>
          <w:rStyle w:val="SourceText"/>
        </w:rPr>
        <w:t>MUST NOT</w:t>
      </w:r>
      <w:r>
        <w:rPr/>
        <w:t xml:space="preserve"> be treated as universal simply because an agent performs well in one narrow context.</w:t>
      </w:r>
    </w:p>
    <w:p>
      <w:pPr>
        <w:pStyle w:val="BodyText"/>
        <w:bidi w:val="0"/>
        <w:jc w:val="left"/>
        <w:rPr/>
      </w:pPr>
      <w:r>
        <w:rPr/>
        <w:t xml:space="preserve">For materially consequential badges, a conforming implementation </w:t>
      </w:r>
      <w:r>
        <w:rPr>
          <w:rStyle w:val="SourceText"/>
        </w:rPr>
        <w:t>SHOULD</w:t>
      </w:r>
      <w:r>
        <w:rPr/>
        <w:t xml:space="preserve"> scrutinize claims against:</w:t>
      </w:r>
    </w:p>
    <w:p>
      <w:pPr>
        <w:pStyle w:val="BodyText"/>
        <w:numPr>
          <w:ilvl w:val="0"/>
          <w:numId w:val="61"/>
        </w:numPr>
        <w:tabs>
          <w:tab w:val="clear" w:pos="1134"/>
          <w:tab w:val="left" w:pos="709" w:leader="none"/>
        </w:tabs>
        <w:bidi w:val="0"/>
        <w:spacing w:before="0" w:after="0"/>
        <w:ind w:hanging="283" w:left="709"/>
        <w:jc w:val="left"/>
        <w:rPr/>
      </w:pPr>
      <w:r>
        <w:rPr/>
        <w:t xml:space="preserve">the business archetypes or sectors in which the claim is intended to apply </w:t>
      </w:r>
    </w:p>
    <w:p>
      <w:pPr>
        <w:pStyle w:val="BodyText"/>
        <w:numPr>
          <w:ilvl w:val="0"/>
          <w:numId w:val="61"/>
        </w:numPr>
        <w:tabs>
          <w:tab w:val="clear" w:pos="1134"/>
          <w:tab w:val="left" w:pos="709" w:leader="none"/>
        </w:tabs>
        <w:bidi w:val="0"/>
        <w:spacing w:before="0" w:after="0"/>
        <w:ind w:hanging="283" w:left="709"/>
        <w:jc w:val="left"/>
        <w:rPr/>
      </w:pPr>
      <w:r>
        <w:rPr/>
        <w:t xml:space="preserve">the workflow classes the agent is expected to perform </w:t>
      </w:r>
    </w:p>
    <w:p>
      <w:pPr>
        <w:pStyle w:val="BodyText"/>
        <w:numPr>
          <w:ilvl w:val="0"/>
          <w:numId w:val="61"/>
        </w:numPr>
        <w:tabs>
          <w:tab w:val="clear" w:pos="1134"/>
          <w:tab w:val="left" w:pos="709" w:leader="none"/>
        </w:tabs>
        <w:bidi w:val="0"/>
        <w:spacing w:before="0" w:after="0"/>
        <w:ind w:hanging="283" w:left="709"/>
        <w:jc w:val="left"/>
        <w:rPr/>
      </w:pPr>
      <w:r>
        <w:rPr/>
        <w:t xml:space="preserve">the data sensitivity and jurisdiction classes in which the claim will operate </w:t>
      </w:r>
    </w:p>
    <w:p>
      <w:pPr>
        <w:pStyle w:val="BodyText"/>
        <w:numPr>
          <w:ilvl w:val="0"/>
          <w:numId w:val="61"/>
        </w:numPr>
        <w:tabs>
          <w:tab w:val="clear" w:pos="1134"/>
          <w:tab w:val="left" w:pos="709" w:leader="none"/>
        </w:tabs>
        <w:bidi w:val="0"/>
        <w:spacing w:before="0" w:after="0"/>
        <w:ind w:hanging="283" w:left="709"/>
        <w:jc w:val="left"/>
        <w:rPr/>
      </w:pPr>
      <w:r>
        <w:rPr/>
        <w:t xml:space="preserve">the oversight posture required to keep the claim valid </w:t>
      </w:r>
    </w:p>
    <w:p>
      <w:pPr>
        <w:pStyle w:val="BodyText"/>
        <w:numPr>
          <w:ilvl w:val="0"/>
          <w:numId w:val="61"/>
        </w:numPr>
        <w:tabs>
          <w:tab w:val="clear" w:pos="1134"/>
          <w:tab w:val="left" w:pos="709" w:leader="none"/>
        </w:tabs>
        <w:bidi w:val="0"/>
        <w:ind w:hanging="283" w:left="709"/>
        <w:jc w:val="left"/>
        <w:rPr/>
      </w:pPr>
      <w:r>
        <w:rPr/>
        <w:t xml:space="preserve">explicitly excluded or higher-risk scenarios where the claim does not apply </w:t>
      </w:r>
    </w:p>
    <w:p>
      <w:pPr>
        <w:pStyle w:val="BodyText"/>
        <w:bidi w:val="0"/>
        <w:jc w:val="left"/>
        <w:rPr/>
      </w:pPr>
      <w:r>
        <w:rPr/>
        <w:t xml:space="preserve">This is especially important where organizations are trying to govern broad families of internal and public AI agents. A badge that is useful for a low-risk intake workflow in one archetype </w:t>
      </w:r>
      <w:r>
        <w:rPr>
          <w:rStyle w:val="SourceText"/>
        </w:rPr>
        <w:t>MUST NOT</w:t>
      </w:r>
      <w:r>
        <w:rPr/>
        <w:t xml:space="preserve"> be implied to cover high-risk approval or regulated decision support in another.</w:t>
      </w:r>
    </w:p>
    <w:p>
      <w:pPr>
        <w:pStyle w:val="Heading3"/>
        <w:bidi w:val="0"/>
        <w:jc w:val="left"/>
        <w:rPr/>
      </w:pPr>
      <w:r>
        <w:rPr/>
        <w:t>8.11 Job Qualification Claims</w:t>
      </w:r>
    </w:p>
    <w:p>
      <w:pPr>
        <w:pStyle w:val="BodyText"/>
        <w:bidi w:val="0"/>
        <w:jc w:val="left"/>
        <w:rPr/>
      </w:pPr>
      <w:r>
        <w:rPr>
          <w:rStyle w:val="SourceText"/>
        </w:rPr>
        <w:t>GAID</w:t>
      </w:r>
      <w:r>
        <w:rPr/>
        <w:t xml:space="preserve"> carries job-qualification claims; it does not define the qualification scheme. The normative scheme belongs to </w:t>
      </w:r>
      <w:r>
        <w:rPr>
          <w:rStyle w:val="SourceText"/>
        </w:rPr>
        <w:t>TAK-JSI</w:t>
      </w:r>
      <w:r>
        <w:rPr/>
        <w:t>.</w:t>
      </w:r>
    </w:p>
    <w:p>
      <w:pPr>
        <w:pStyle w:val="BodyText"/>
        <w:bidi w:val="0"/>
        <w:jc w:val="left"/>
        <w:rPr/>
      </w:pPr>
      <w:r>
        <w:rPr/>
        <w:t>A conforming implementation:</w:t>
      </w:r>
    </w:p>
    <w:p>
      <w:pPr>
        <w:pStyle w:val="BodyText"/>
        <w:numPr>
          <w:ilvl w:val="0"/>
          <w:numId w:val="62"/>
        </w:numPr>
        <w:tabs>
          <w:tab w:val="clear" w:pos="1134"/>
          <w:tab w:val="left" w:pos="709" w:leader="none"/>
        </w:tabs>
        <w:bidi w:val="0"/>
        <w:spacing w:before="0" w:after="0"/>
        <w:ind w:hanging="283" w:left="709"/>
        <w:jc w:val="left"/>
        <w:rPr/>
      </w:pPr>
      <w:r>
        <w:rPr>
          <w:rStyle w:val="SourceText"/>
        </w:rPr>
        <w:t>MUST</w:t>
      </w:r>
      <w:r>
        <w:rPr/>
        <w:t xml:space="preserve"> bind each qualification claim to a </w:t>
      </w:r>
      <w:r>
        <w:rPr>
          <w:rStyle w:val="SourceText"/>
        </w:rPr>
        <w:t>GAID</w:t>
      </w:r>
      <w:r>
        <w:rPr/>
        <w:t xml:space="preserve"> and operating-profile fingerprint </w:t>
      </w:r>
    </w:p>
    <w:p>
      <w:pPr>
        <w:pStyle w:val="BodyText"/>
        <w:numPr>
          <w:ilvl w:val="0"/>
          <w:numId w:val="62"/>
        </w:numPr>
        <w:tabs>
          <w:tab w:val="clear" w:pos="1134"/>
          <w:tab w:val="left" w:pos="709" w:leader="none"/>
        </w:tabs>
        <w:bidi w:val="0"/>
        <w:spacing w:before="0" w:after="0"/>
        <w:ind w:hanging="283" w:left="709"/>
        <w:jc w:val="left"/>
        <w:rPr/>
      </w:pPr>
      <w:r>
        <w:rPr>
          <w:rStyle w:val="SourceText"/>
        </w:rPr>
        <w:t>MUST</w:t>
      </w:r>
      <w:r>
        <w:rPr/>
        <w:t xml:space="preserve"> expose the current qualification status without erasing historical status </w:t>
      </w:r>
    </w:p>
    <w:p>
      <w:pPr>
        <w:pStyle w:val="BodyText"/>
        <w:numPr>
          <w:ilvl w:val="0"/>
          <w:numId w:val="62"/>
        </w:numPr>
        <w:tabs>
          <w:tab w:val="clear" w:pos="1134"/>
          <w:tab w:val="left" w:pos="709" w:leader="none"/>
        </w:tabs>
        <w:bidi w:val="0"/>
        <w:spacing w:before="0" w:after="0"/>
        <w:ind w:hanging="283" w:left="709"/>
        <w:jc w:val="left"/>
        <w:rPr/>
      </w:pPr>
      <w:r>
        <w:rPr>
          <w:rStyle w:val="SourceText"/>
        </w:rPr>
        <w:t>MUST</w:t>
      </w:r>
      <w:r>
        <w:rPr/>
        <w:t xml:space="preserve"> distinguish </w:t>
      </w:r>
      <w:r>
        <w:rPr>
          <w:rStyle w:val="SourceText"/>
        </w:rPr>
        <w:t>defined</w:t>
      </w:r>
      <w:r>
        <w:rPr/>
        <w:t xml:space="preserve">, </w:t>
      </w:r>
      <w:r>
        <w:rPr>
          <w:rStyle w:val="SourceText"/>
        </w:rPr>
        <w:t>assessed</w:t>
      </w:r>
      <w:r>
        <w:rPr/>
        <w:t xml:space="preserve">, and </w:t>
      </w:r>
      <w:r>
        <w:rPr>
          <w:rStyle w:val="SourceText"/>
        </w:rPr>
        <w:t>qualified</w:t>
      </w:r>
      <w:r>
        <w:rPr/>
        <w:t xml:space="preserve"> profiles </w:t>
      </w:r>
    </w:p>
    <w:p>
      <w:pPr>
        <w:pStyle w:val="BodyText"/>
        <w:numPr>
          <w:ilvl w:val="0"/>
          <w:numId w:val="62"/>
        </w:numPr>
        <w:tabs>
          <w:tab w:val="clear" w:pos="1134"/>
          <w:tab w:val="left" w:pos="709" w:leader="none"/>
        </w:tabs>
        <w:bidi w:val="0"/>
        <w:spacing w:before="0" w:after="0"/>
        <w:ind w:hanging="283" w:left="709"/>
        <w:jc w:val="left"/>
        <w:rPr/>
      </w:pPr>
      <w:r>
        <w:rPr>
          <w:rStyle w:val="SourceText"/>
        </w:rPr>
        <w:t>MUST</w:t>
      </w:r>
      <w:r>
        <w:rPr/>
        <w:t xml:space="preserve"> support at least </w:t>
      </w:r>
      <w:r>
        <w:rPr>
          <w:rStyle w:val="SourceText"/>
        </w:rPr>
        <w:t>active</w:t>
      </w:r>
      <w:r>
        <w:rPr/>
        <w:t xml:space="preserve">, </w:t>
      </w:r>
      <w:r>
        <w:rPr>
          <w:rStyle w:val="SourceText"/>
        </w:rPr>
        <w:t>pending-revalidation</w:t>
      </w:r>
      <w:r>
        <w:rPr/>
        <w:t xml:space="preserve">, </w:t>
      </w:r>
      <w:r>
        <w:rPr>
          <w:rStyle w:val="SourceText"/>
        </w:rPr>
        <w:t>restricted</w:t>
      </w:r>
      <w:r>
        <w:rPr/>
        <w:t xml:space="preserve">, </w:t>
      </w:r>
      <w:r>
        <w:rPr>
          <w:rStyle w:val="SourceText"/>
        </w:rPr>
        <w:t>suspended</w:t>
      </w:r>
      <w:r>
        <w:rPr/>
        <w:t xml:space="preserve">, </w:t>
      </w:r>
      <w:r>
        <w:rPr>
          <w:rStyle w:val="SourceText"/>
        </w:rPr>
        <w:t>expired</w:t>
      </w:r>
      <w:r>
        <w:rPr/>
        <w:t xml:space="preserve">, and </w:t>
      </w:r>
      <w:r>
        <w:rPr>
          <w:rStyle w:val="SourceText"/>
        </w:rPr>
        <w:t>revoked</w:t>
      </w:r>
      <w:r>
        <w:rPr/>
        <w:t xml:space="preserve"> qualification states </w:t>
      </w:r>
    </w:p>
    <w:p>
      <w:pPr>
        <w:pStyle w:val="BodyText"/>
        <w:numPr>
          <w:ilvl w:val="0"/>
          <w:numId w:val="62"/>
        </w:numPr>
        <w:tabs>
          <w:tab w:val="clear" w:pos="1134"/>
          <w:tab w:val="left" w:pos="709" w:leader="none"/>
        </w:tabs>
        <w:bidi w:val="0"/>
        <w:spacing w:before="0" w:after="0"/>
        <w:ind w:hanging="283" w:left="709"/>
        <w:jc w:val="left"/>
        <w:rPr/>
      </w:pPr>
      <w:r>
        <w:rPr>
          <w:rStyle w:val="SourceText"/>
        </w:rPr>
        <w:t>MUST NOT</w:t>
      </w:r>
      <w:r>
        <w:rPr/>
        <w:t xml:space="preserve"> advertise a stale or out-of-scope qualification as current </w:t>
      </w:r>
    </w:p>
    <w:p>
      <w:pPr>
        <w:pStyle w:val="BodyText"/>
        <w:numPr>
          <w:ilvl w:val="0"/>
          <w:numId w:val="62"/>
        </w:numPr>
        <w:tabs>
          <w:tab w:val="clear" w:pos="1134"/>
          <w:tab w:val="left" w:pos="709" w:leader="none"/>
        </w:tabs>
        <w:bidi w:val="0"/>
        <w:spacing w:before="0" w:after="0"/>
        <w:ind w:hanging="283" w:left="709"/>
        <w:jc w:val="left"/>
        <w:rPr/>
      </w:pPr>
      <w:r>
        <w:rPr>
          <w:rStyle w:val="SourceText"/>
        </w:rPr>
        <w:t>MUST</w:t>
      </w:r>
      <w:r>
        <w:rPr/>
        <w:t xml:space="preserve"> cause material change to enter revalidation unless the scheme explicitly establishes evidence-backed continuity </w:t>
      </w:r>
    </w:p>
    <w:p>
      <w:pPr>
        <w:pStyle w:val="BodyText"/>
        <w:numPr>
          <w:ilvl w:val="0"/>
          <w:numId w:val="62"/>
        </w:numPr>
        <w:tabs>
          <w:tab w:val="clear" w:pos="1134"/>
          <w:tab w:val="left" w:pos="709" w:leader="none"/>
        </w:tabs>
        <w:bidi w:val="0"/>
        <w:ind w:hanging="283" w:left="709"/>
        <w:jc w:val="left"/>
        <w:rPr/>
      </w:pPr>
      <w:r>
        <w:rPr>
          <w:rStyle w:val="SourceText"/>
        </w:rPr>
        <w:t>SHOULD</w:t>
      </w:r>
      <w:r>
        <w:rPr/>
        <w:t xml:space="preserve"> publish qualified activities, exclusions, evidence strength, surveillance cadence, and next review date in a verifier-readable form </w:t>
      </w:r>
    </w:p>
    <w:p>
      <w:pPr>
        <w:pStyle w:val="BodyText"/>
        <w:bidi w:val="0"/>
        <w:jc w:val="left"/>
        <w:rPr/>
      </w:pPr>
      <w:r>
        <w:rPr/>
        <w:t xml:space="preserve">The identity subject may remain the same while its operating profile changes and one or more qualification claims become stale. Revalidation normally updates the qualification record rather than minting a new </w:t>
      </w:r>
      <w:r>
        <w:rPr>
          <w:rStyle w:val="SourceText"/>
        </w:rPr>
        <w:t>GAID</w:t>
      </w:r>
      <w:r>
        <w:rPr/>
        <w:t>.</w:t>
      </w:r>
    </w:p>
    <w:p>
      <w:pPr>
        <w:pStyle w:val="Heading2"/>
        <w:bidi w:val="0"/>
        <w:jc w:val="left"/>
        <w:rPr/>
      </w:pPr>
      <w:r>
        <w:rPr/>
        <w:t>9. Authorization Classes</w:t>
      </w:r>
    </w:p>
    <w:p>
      <w:pPr>
        <w:pStyle w:val="Heading3"/>
        <w:bidi w:val="0"/>
        <w:jc w:val="left"/>
        <w:rPr/>
      </w:pPr>
      <w:r>
        <w:rPr/>
        <w:t>9.1 Purpose</w:t>
      </w:r>
    </w:p>
    <w:p>
      <w:pPr>
        <w:pStyle w:val="BodyText"/>
        <w:bidi w:val="0"/>
        <w:jc w:val="left"/>
        <w:rPr/>
      </w:pPr>
      <w:r>
        <w:rPr/>
        <w:t>Authorization classes are portable declarations of intended action scope. They are not a substitute for local runtime authorization.</w:t>
      </w:r>
    </w:p>
    <w:p>
      <w:pPr>
        <w:pStyle w:val="BodyText"/>
        <w:bidi w:val="0"/>
        <w:jc w:val="left"/>
        <w:rPr/>
      </w:pPr>
      <w:r>
        <w:rPr/>
        <w:t xml:space="preserve">This distinction matters. A relying party needs to know what class of actions an agent is designed to request or perform, while a runtime still needs its own live policy model such as </w:t>
      </w:r>
      <w:r>
        <w:rPr>
          <w:rStyle w:val="SourceText"/>
        </w:rPr>
        <w:t>RBAC</w:t>
      </w:r>
      <w:r>
        <w:rPr/>
        <w:t xml:space="preserve">, </w:t>
      </w:r>
      <w:r>
        <w:rPr>
          <w:rStyle w:val="SourceText"/>
        </w:rPr>
        <w:t>ABAC</w:t>
      </w:r>
      <w:r>
        <w:rPr/>
        <w:t xml:space="preserve">, or </w:t>
      </w:r>
      <w:r>
        <w:rPr>
          <w:rStyle w:val="SourceText"/>
        </w:rPr>
        <w:t>TAK</w:t>
      </w:r>
      <w:r>
        <w:rPr/>
        <w:t xml:space="preserve"> execution gating.</w:t>
      </w:r>
    </w:p>
    <w:p>
      <w:pPr>
        <w:pStyle w:val="Heading3"/>
        <w:bidi w:val="0"/>
        <w:jc w:val="left"/>
        <w:rPr/>
      </w:pPr>
      <w:r>
        <w:rPr/>
        <w:t>9.2 Minimum Class Vocabulary</w:t>
      </w:r>
    </w:p>
    <w:p>
      <w:pPr>
        <w:pStyle w:val="BodyText"/>
        <w:bidi w:val="0"/>
        <w:jc w:val="left"/>
        <w:rPr/>
      </w:pPr>
      <w:r>
        <w:rPr/>
        <w:t xml:space="preserve">A conforming implementation </w:t>
      </w:r>
      <w:r>
        <w:rPr>
          <w:rStyle w:val="SourceText"/>
        </w:rPr>
        <w:t>SHOULD</w:t>
      </w:r>
      <w:r>
        <w:rPr/>
        <w:t xml:space="preserve"> support at least the following portable classes:</w:t>
      </w:r>
    </w:p>
    <w:tbl>
      <w:tblPr>
        <w:tblW w:w="13853" w:type="dxa"/>
        <w:jc w:val="left"/>
        <w:tblInd w:w="0" w:type="dxa"/>
        <w:tblLayout w:type="fixed"/>
        <w:tblCellMar>
          <w:top w:w="28" w:type="dxa"/>
          <w:left w:w="28" w:type="dxa"/>
          <w:bottom w:w="28" w:type="dxa"/>
          <w:right w:w="28" w:type="dxa"/>
        </w:tblCellMar>
      </w:tblPr>
      <w:tblGrid>
        <w:gridCol w:w="2137"/>
        <w:gridCol w:w="11716"/>
      </w:tblGrid>
      <w:tr>
        <w:trPr>
          <w:tblHeader w:val="true"/>
        </w:trPr>
        <w:tc>
          <w:tcPr>
            <w:tcW w:w="2137" w:type="dxa"/>
            <w:tcBorders/>
            <w:vAlign w:val="center"/>
          </w:tcPr>
          <w:p>
            <w:pPr>
              <w:pStyle w:val="TableHeading"/>
              <w:suppressLineNumbers/>
              <w:bidi w:val="0"/>
              <w:spacing w:before="0" w:after="283"/>
              <w:jc w:val="center"/>
              <w:rPr/>
            </w:pPr>
            <w:r>
              <w:rPr/>
              <w:t>Class</w:t>
            </w:r>
          </w:p>
        </w:tc>
        <w:tc>
          <w:tcPr>
            <w:tcW w:w="11716" w:type="dxa"/>
            <w:tcBorders/>
            <w:vAlign w:val="center"/>
          </w:tcPr>
          <w:p>
            <w:pPr>
              <w:pStyle w:val="TableHeading"/>
              <w:suppressLineNumbers/>
              <w:bidi w:val="0"/>
              <w:spacing w:before="0" w:after="283"/>
              <w:jc w:val="center"/>
              <w:rPr/>
            </w:pPr>
            <w:r>
              <w:rPr/>
              <w:t>Meaning</w:t>
            </w:r>
          </w:p>
        </w:tc>
      </w:tr>
      <w:tr>
        <w:trPr/>
        <w:tc>
          <w:tcPr>
            <w:tcW w:w="2137" w:type="dxa"/>
            <w:tcBorders/>
            <w:vAlign w:val="center"/>
          </w:tcPr>
          <w:p>
            <w:pPr>
              <w:pStyle w:val="TableContents"/>
              <w:bidi w:val="0"/>
              <w:spacing w:before="0" w:after="283"/>
              <w:jc w:val="left"/>
              <w:rPr/>
            </w:pPr>
            <w:r>
              <w:rPr>
                <w:rStyle w:val="SourceText"/>
              </w:rPr>
              <w:t>observe</w:t>
            </w:r>
          </w:p>
        </w:tc>
        <w:tc>
          <w:tcPr>
            <w:tcW w:w="11716" w:type="dxa"/>
            <w:tcBorders/>
            <w:vAlign w:val="center"/>
          </w:tcPr>
          <w:p>
            <w:pPr>
              <w:pStyle w:val="TableContents"/>
              <w:bidi w:val="0"/>
              <w:spacing w:before="0" w:after="283"/>
              <w:jc w:val="left"/>
              <w:rPr/>
            </w:pPr>
            <w:r>
              <w:rPr/>
              <w:t>read or inspect data without mutation</w:t>
            </w:r>
          </w:p>
        </w:tc>
      </w:tr>
      <w:tr>
        <w:trPr/>
        <w:tc>
          <w:tcPr>
            <w:tcW w:w="2137" w:type="dxa"/>
            <w:tcBorders/>
            <w:vAlign w:val="center"/>
          </w:tcPr>
          <w:p>
            <w:pPr>
              <w:pStyle w:val="TableContents"/>
              <w:bidi w:val="0"/>
              <w:spacing w:before="0" w:after="283"/>
              <w:jc w:val="left"/>
              <w:rPr/>
            </w:pPr>
            <w:r>
              <w:rPr>
                <w:rStyle w:val="SourceText"/>
              </w:rPr>
              <w:t>monitor</w:t>
            </w:r>
          </w:p>
        </w:tc>
        <w:tc>
          <w:tcPr>
            <w:tcW w:w="11716" w:type="dxa"/>
            <w:tcBorders/>
            <w:vAlign w:val="center"/>
          </w:tcPr>
          <w:p>
            <w:pPr>
              <w:pStyle w:val="TableContents"/>
              <w:bidi w:val="0"/>
              <w:spacing w:before="0" w:after="283"/>
              <w:jc w:val="left"/>
              <w:rPr/>
            </w:pPr>
            <w:r>
              <w:rPr/>
              <w:t>passively observe, watch, or alert on changes without directly mutating the target system</w:t>
            </w:r>
          </w:p>
        </w:tc>
      </w:tr>
      <w:tr>
        <w:trPr/>
        <w:tc>
          <w:tcPr>
            <w:tcW w:w="2137" w:type="dxa"/>
            <w:tcBorders/>
            <w:vAlign w:val="center"/>
          </w:tcPr>
          <w:p>
            <w:pPr>
              <w:pStyle w:val="TableContents"/>
              <w:bidi w:val="0"/>
              <w:spacing w:before="0" w:after="283"/>
              <w:jc w:val="left"/>
              <w:rPr/>
            </w:pPr>
            <w:r>
              <w:rPr>
                <w:rStyle w:val="SourceText"/>
              </w:rPr>
              <w:t>analyze</w:t>
            </w:r>
          </w:p>
        </w:tc>
        <w:tc>
          <w:tcPr>
            <w:tcW w:w="11716" w:type="dxa"/>
            <w:tcBorders/>
            <w:vAlign w:val="center"/>
          </w:tcPr>
          <w:p>
            <w:pPr>
              <w:pStyle w:val="TableContents"/>
              <w:bidi w:val="0"/>
              <w:spacing w:before="0" w:after="283"/>
              <w:jc w:val="left"/>
              <w:rPr/>
            </w:pPr>
            <w:r>
              <w:rPr/>
              <w:t>derive recommendations, rankings, or assessments</w:t>
            </w:r>
          </w:p>
        </w:tc>
      </w:tr>
      <w:tr>
        <w:trPr/>
        <w:tc>
          <w:tcPr>
            <w:tcW w:w="2137" w:type="dxa"/>
            <w:tcBorders/>
            <w:vAlign w:val="center"/>
          </w:tcPr>
          <w:p>
            <w:pPr>
              <w:pStyle w:val="TableContents"/>
              <w:bidi w:val="0"/>
              <w:spacing w:before="0" w:after="283"/>
              <w:jc w:val="left"/>
              <w:rPr/>
            </w:pPr>
            <w:r>
              <w:rPr>
                <w:rStyle w:val="SourceText"/>
              </w:rPr>
              <w:t>report</w:t>
            </w:r>
          </w:p>
        </w:tc>
        <w:tc>
          <w:tcPr>
            <w:tcW w:w="11716" w:type="dxa"/>
            <w:tcBorders/>
            <w:vAlign w:val="center"/>
          </w:tcPr>
          <w:p>
            <w:pPr>
              <w:pStyle w:val="TableContents"/>
              <w:bidi w:val="0"/>
              <w:spacing w:before="0" w:after="283"/>
              <w:jc w:val="left"/>
              <w:rPr/>
            </w:pPr>
            <w:r>
              <w:rPr/>
              <w:t>read or analyze data and publish a summary, notification, or evidence artifact without directly changing the target record</w:t>
            </w:r>
          </w:p>
        </w:tc>
      </w:tr>
      <w:tr>
        <w:trPr/>
        <w:tc>
          <w:tcPr>
            <w:tcW w:w="2137" w:type="dxa"/>
            <w:tcBorders/>
            <w:vAlign w:val="center"/>
          </w:tcPr>
          <w:p>
            <w:pPr>
              <w:pStyle w:val="TableContents"/>
              <w:bidi w:val="0"/>
              <w:spacing w:before="0" w:after="283"/>
              <w:jc w:val="left"/>
              <w:rPr/>
            </w:pPr>
            <w:r>
              <w:rPr>
                <w:rStyle w:val="SourceText"/>
              </w:rPr>
              <w:t>create</w:t>
            </w:r>
          </w:p>
        </w:tc>
        <w:tc>
          <w:tcPr>
            <w:tcW w:w="11716" w:type="dxa"/>
            <w:tcBorders/>
            <w:vAlign w:val="center"/>
          </w:tcPr>
          <w:p>
            <w:pPr>
              <w:pStyle w:val="TableContents"/>
              <w:bidi w:val="0"/>
              <w:spacing w:before="0" w:after="283"/>
              <w:jc w:val="left"/>
              <w:rPr/>
            </w:pPr>
            <w:r>
              <w:rPr/>
              <w:t>create new records or artifacts</w:t>
            </w:r>
          </w:p>
        </w:tc>
      </w:tr>
      <w:tr>
        <w:trPr/>
        <w:tc>
          <w:tcPr>
            <w:tcW w:w="2137" w:type="dxa"/>
            <w:tcBorders/>
            <w:vAlign w:val="center"/>
          </w:tcPr>
          <w:p>
            <w:pPr>
              <w:pStyle w:val="TableContents"/>
              <w:bidi w:val="0"/>
              <w:spacing w:before="0" w:after="283"/>
              <w:jc w:val="left"/>
              <w:rPr/>
            </w:pPr>
            <w:r>
              <w:rPr>
                <w:rStyle w:val="SourceText"/>
              </w:rPr>
              <w:t>update</w:t>
            </w:r>
          </w:p>
        </w:tc>
        <w:tc>
          <w:tcPr>
            <w:tcW w:w="11716" w:type="dxa"/>
            <w:tcBorders/>
            <w:vAlign w:val="center"/>
          </w:tcPr>
          <w:p>
            <w:pPr>
              <w:pStyle w:val="TableContents"/>
              <w:bidi w:val="0"/>
              <w:spacing w:before="0" w:after="283"/>
              <w:jc w:val="left"/>
              <w:rPr/>
            </w:pPr>
            <w:r>
              <w:rPr/>
              <w:t>modify existing records or configurations</w:t>
            </w:r>
          </w:p>
        </w:tc>
      </w:tr>
      <w:tr>
        <w:trPr/>
        <w:tc>
          <w:tcPr>
            <w:tcW w:w="2137" w:type="dxa"/>
            <w:tcBorders/>
            <w:vAlign w:val="center"/>
          </w:tcPr>
          <w:p>
            <w:pPr>
              <w:pStyle w:val="TableContents"/>
              <w:bidi w:val="0"/>
              <w:spacing w:before="0" w:after="283"/>
              <w:jc w:val="left"/>
              <w:rPr/>
            </w:pPr>
            <w:r>
              <w:rPr>
                <w:rStyle w:val="SourceText"/>
              </w:rPr>
              <w:t>approve</w:t>
            </w:r>
          </w:p>
        </w:tc>
        <w:tc>
          <w:tcPr>
            <w:tcW w:w="11716" w:type="dxa"/>
            <w:tcBorders/>
            <w:vAlign w:val="center"/>
          </w:tcPr>
          <w:p>
            <w:pPr>
              <w:pStyle w:val="TableContents"/>
              <w:bidi w:val="0"/>
              <w:spacing w:before="0" w:after="283"/>
              <w:jc w:val="left"/>
              <w:rPr/>
            </w:pPr>
            <w:r>
              <w:rPr/>
              <w:t>approve or reject governed actions</w:t>
            </w:r>
          </w:p>
        </w:tc>
      </w:tr>
      <w:tr>
        <w:trPr/>
        <w:tc>
          <w:tcPr>
            <w:tcW w:w="2137" w:type="dxa"/>
            <w:tcBorders/>
            <w:vAlign w:val="center"/>
          </w:tcPr>
          <w:p>
            <w:pPr>
              <w:pStyle w:val="TableContents"/>
              <w:bidi w:val="0"/>
              <w:spacing w:before="0" w:after="283"/>
              <w:jc w:val="left"/>
              <w:rPr/>
            </w:pPr>
            <w:r>
              <w:rPr>
                <w:rStyle w:val="SourceText"/>
              </w:rPr>
              <w:t>execute</w:t>
            </w:r>
          </w:p>
        </w:tc>
        <w:tc>
          <w:tcPr>
            <w:tcW w:w="11716" w:type="dxa"/>
            <w:tcBorders/>
            <w:vAlign w:val="center"/>
          </w:tcPr>
          <w:p>
            <w:pPr>
              <w:pStyle w:val="TableContents"/>
              <w:bidi w:val="0"/>
              <w:spacing w:before="0" w:after="283"/>
              <w:jc w:val="left"/>
              <w:rPr/>
            </w:pPr>
            <w:r>
              <w:rPr/>
              <w:t>perform side-effecting operations</w:t>
            </w:r>
          </w:p>
        </w:tc>
      </w:tr>
      <w:tr>
        <w:trPr/>
        <w:tc>
          <w:tcPr>
            <w:tcW w:w="2137" w:type="dxa"/>
            <w:tcBorders/>
            <w:vAlign w:val="center"/>
          </w:tcPr>
          <w:p>
            <w:pPr>
              <w:pStyle w:val="TableContents"/>
              <w:bidi w:val="0"/>
              <w:spacing w:before="0" w:after="283"/>
              <w:jc w:val="left"/>
              <w:rPr/>
            </w:pPr>
            <w:r>
              <w:rPr>
                <w:rStyle w:val="SourceText"/>
              </w:rPr>
              <w:t>delegate</w:t>
            </w:r>
          </w:p>
        </w:tc>
        <w:tc>
          <w:tcPr>
            <w:tcW w:w="11716" w:type="dxa"/>
            <w:tcBorders/>
            <w:vAlign w:val="center"/>
          </w:tcPr>
          <w:p>
            <w:pPr>
              <w:pStyle w:val="TableContents"/>
              <w:bidi w:val="0"/>
              <w:spacing w:before="0" w:after="283"/>
              <w:jc w:val="left"/>
              <w:rPr/>
            </w:pPr>
            <w:r>
              <w:rPr/>
              <w:t>assign work to another agent or system</w:t>
            </w:r>
          </w:p>
        </w:tc>
      </w:tr>
      <w:tr>
        <w:trPr/>
        <w:tc>
          <w:tcPr>
            <w:tcW w:w="2137" w:type="dxa"/>
            <w:tcBorders/>
            <w:vAlign w:val="center"/>
          </w:tcPr>
          <w:p>
            <w:pPr>
              <w:pStyle w:val="TableContents"/>
              <w:bidi w:val="0"/>
              <w:spacing w:before="0" w:after="283"/>
              <w:jc w:val="left"/>
              <w:rPr/>
            </w:pPr>
            <w:r>
              <w:rPr>
                <w:rStyle w:val="SourceText"/>
              </w:rPr>
              <w:t>administer</w:t>
            </w:r>
          </w:p>
        </w:tc>
        <w:tc>
          <w:tcPr>
            <w:tcW w:w="11716" w:type="dxa"/>
            <w:tcBorders/>
            <w:vAlign w:val="center"/>
          </w:tcPr>
          <w:p>
            <w:pPr>
              <w:pStyle w:val="TableContents"/>
              <w:bidi w:val="0"/>
              <w:spacing w:before="0" w:after="283"/>
              <w:jc w:val="left"/>
              <w:rPr/>
            </w:pPr>
            <w:r>
              <w:rPr/>
              <w:t>manage identity, policy, or platform configuration</w:t>
            </w:r>
          </w:p>
        </w:tc>
      </w:tr>
      <w:tr>
        <w:trPr/>
        <w:tc>
          <w:tcPr>
            <w:tcW w:w="2137" w:type="dxa"/>
            <w:tcBorders/>
            <w:vAlign w:val="center"/>
          </w:tcPr>
          <w:p>
            <w:pPr>
              <w:pStyle w:val="TableContents"/>
              <w:bidi w:val="0"/>
              <w:spacing w:before="0" w:after="283"/>
              <w:jc w:val="left"/>
              <w:rPr/>
            </w:pPr>
            <w:r>
              <w:rPr>
                <w:rStyle w:val="SourceText"/>
              </w:rPr>
              <w:t>cross-boundary</w:t>
            </w:r>
          </w:p>
        </w:tc>
        <w:tc>
          <w:tcPr>
            <w:tcW w:w="11716" w:type="dxa"/>
            <w:tcBorders/>
            <w:vAlign w:val="center"/>
          </w:tcPr>
          <w:p>
            <w:pPr>
              <w:pStyle w:val="TableContents"/>
              <w:bidi w:val="0"/>
              <w:spacing w:before="0" w:after="283"/>
              <w:jc w:val="left"/>
              <w:rPr/>
            </w:pPr>
            <w:r>
              <w:rPr/>
              <w:t>exchange data or invoke actions across organizational boundaries</w:t>
            </w:r>
          </w:p>
        </w:tc>
      </w:tr>
    </w:tbl>
    <w:p>
      <w:pPr>
        <w:pStyle w:val="Heading3"/>
        <w:bidi w:val="0"/>
        <w:jc w:val="left"/>
        <w:rPr/>
      </w:pPr>
      <w:r>
        <w:rPr/>
        <w:t>9.3 Mapping Rule</w:t>
      </w:r>
    </w:p>
    <w:p>
      <w:pPr>
        <w:pStyle w:val="BodyText"/>
        <w:bidi w:val="0"/>
        <w:jc w:val="left"/>
        <w:rPr/>
      </w:pPr>
      <w:r>
        <w:rPr/>
        <w:t>An implementation:</w:t>
      </w:r>
    </w:p>
    <w:p>
      <w:pPr>
        <w:pStyle w:val="BodyText"/>
        <w:numPr>
          <w:ilvl w:val="0"/>
          <w:numId w:val="63"/>
        </w:numPr>
        <w:tabs>
          <w:tab w:val="clear" w:pos="1134"/>
          <w:tab w:val="left" w:pos="709" w:leader="none"/>
        </w:tabs>
        <w:bidi w:val="0"/>
        <w:spacing w:before="0" w:after="0"/>
        <w:ind w:hanging="283" w:left="709"/>
        <w:jc w:val="left"/>
        <w:rPr/>
      </w:pPr>
      <w:r>
        <w:rPr>
          <w:rStyle w:val="SourceText"/>
        </w:rPr>
        <w:t>MUST</w:t>
      </w:r>
      <w:r>
        <w:rPr/>
        <w:t xml:space="preserve"> map portable authorization classes to local runtime policy </w:t>
      </w:r>
    </w:p>
    <w:p>
      <w:pPr>
        <w:pStyle w:val="BodyText"/>
        <w:numPr>
          <w:ilvl w:val="0"/>
          <w:numId w:val="63"/>
        </w:numPr>
        <w:tabs>
          <w:tab w:val="clear" w:pos="1134"/>
          <w:tab w:val="left" w:pos="709" w:leader="none"/>
        </w:tabs>
        <w:bidi w:val="0"/>
        <w:spacing w:before="0" w:after="0"/>
        <w:ind w:hanging="283" w:left="709"/>
        <w:jc w:val="left"/>
        <w:rPr/>
      </w:pPr>
      <w:r>
        <w:rPr>
          <w:rStyle w:val="SourceText"/>
        </w:rPr>
        <w:t>MUST NOT</w:t>
      </w:r>
      <w:r>
        <w:rPr/>
        <w:t xml:space="preserve"> treat a declared authorization class as proof of present authorization </w:t>
      </w:r>
    </w:p>
    <w:p>
      <w:pPr>
        <w:pStyle w:val="BodyText"/>
        <w:numPr>
          <w:ilvl w:val="0"/>
          <w:numId w:val="63"/>
        </w:numPr>
        <w:tabs>
          <w:tab w:val="clear" w:pos="1134"/>
          <w:tab w:val="left" w:pos="709" w:leader="none"/>
        </w:tabs>
        <w:bidi w:val="0"/>
        <w:ind w:hanging="283" w:left="709"/>
        <w:jc w:val="left"/>
        <w:rPr/>
      </w:pPr>
      <w:r>
        <w:rPr>
          <w:rStyle w:val="SourceText"/>
        </w:rPr>
        <w:t>SHOULD</w:t>
      </w:r>
      <w:r>
        <w:rPr/>
        <w:t xml:space="preserve"> include the active authorization class reference in receipts for consequential actions </w:t>
      </w:r>
    </w:p>
    <w:p>
      <w:pPr>
        <w:pStyle w:val="Heading2"/>
        <w:bidi w:val="0"/>
        <w:jc w:val="left"/>
        <w:rPr/>
      </w:pPr>
      <w:r>
        <w:rPr/>
        <w:t>10. Chain-of-Custody and Agent Action Receipts</w:t>
      </w:r>
    </w:p>
    <w:p>
      <w:pPr>
        <w:pStyle w:val="Heading3"/>
        <w:bidi w:val="0"/>
        <w:jc w:val="left"/>
        <w:rPr/>
      </w:pPr>
      <w:r>
        <w:rPr/>
        <w:t>10.1 Core Requirement</w:t>
      </w:r>
    </w:p>
    <w:p>
      <w:pPr>
        <w:pStyle w:val="BodyText"/>
        <w:bidi w:val="0"/>
        <w:jc w:val="left"/>
        <w:rPr/>
      </w:pPr>
      <w:r>
        <w:rPr/>
        <w:t xml:space="preserve">Consequential agent actions </w:t>
      </w:r>
      <w:r>
        <w:rPr>
          <w:rStyle w:val="SourceText"/>
        </w:rPr>
        <w:t>MUST</w:t>
      </w:r>
      <w:r>
        <w:rPr/>
        <w:t xml:space="preserve"> produce a receipt or an equivalent evidence record.</w:t>
      </w:r>
    </w:p>
    <w:p>
      <w:pPr>
        <w:pStyle w:val="BodyText"/>
        <w:bidi w:val="0"/>
        <w:jc w:val="left"/>
        <w:rPr/>
      </w:pPr>
      <w:r>
        <w:rPr/>
        <w:t>Consequential actions include:</w:t>
      </w:r>
    </w:p>
    <w:p>
      <w:pPr>
        <w:pStyle w:val="BodyText"/>
        <w:numPr>
          <w:ilvl w:val="0"/>
          <w:numId w:val="64"/>
        </w:numPr>
        <w:tabs>
          <w:tab w:val="clear" w:pos="1134"/>
          <w:tab w:val="left" w:pos="709" w:leader="none"/>
        </w:tabs>
        <w:bidi w:val="0"/>
        <w:spacing w:before="0" w:after="0"/>
        <w:ind w:hanging="283" w:left="709"/>
        <w:jc w:val="left"/>
        <w:rPr/>
      </w:pPr>
      <w:r>
        <w:rPr/>
        <w:t xml:space="preserve">state-changing tool calls </w:t>
      </w:r>
    </w:p>
    <w:p>
      <w:pPr>
        <w:pStyle w:val="BodyText"/>
        <w:numPr>
          <w:ilvl w:val="0"/>
          <w:numId w:val="64"/>
        </w:numPr>
        <w:tabs>
          <w:tab w:val="clear" w:pos="1134"/>
          <w:tab w:val="left" w:pos="709" w:leader="none"/>
        </w:tabs>
        <w:bidi w:val="0"/>
        <w:spacing w:before="0" w:after="0"/>
        <w:ind w:hanging="283" w:left="709"/>
        <w:jc w:val="left"/>
        <w:rPr/>
      </w:pPr>
      <w:r>
        <w:rPr/>
        <w:t xml:space="preserve">approvals or rejections </w:t>
      </w:r>
    </w:p>
    <w:p>
      <w:pPr>
        <w:pStyle w:val="BodyText"/>
        <w:numPr>
          <w:ilvl w:val="0"/>
          <w:numId w:val="64"/>
        </w:numPr>
        <w:tabs>
          <w:tab w:val="clear" w:pos="1134"/>
          <w:tab w:val="left" w:pos="709" w:leader="none"/>
        </w:tabs>
        <w:bidi w:val="0"/>
        <w:spacing w:before="0" w:after="0"/>
        <w:ind w:hanging="283" w:left="709"/>
        <w:jc w:val="left"/>
        <w:rPr/>
      </w:pPr>
      <w:r>
        <w:rPr/>
        <w:t xml:space="preserve">cross-agent delegation </w:t>
      </w:r>
    </w:p>
    <w:p>
      <w:pPr>
        <w:pStyle w:val="BodyText"/>
        <w:numPr>
          <w:ilvl w:val="0"/>
          <w:numId w:val="64"/>
        </w:numPr>
        <w:tabs>
          <w:tab w:val="clear" w:pos="1134"/>
          <w:tab w:val="left" w:pos="709" w:leader="none"/>
        </w:tabs>
        <w:bidi w:val="0"/>
        <w:spacing w:before="0" w:after="0"/>
        <w:ind w:hanging="283" w:left="709"/>
        <w:jc w:val="left"/>
        <w:rPr/>
      </w:pPr>
      <w:r>
        <w:rPr/>
        <w:t xml:space="preserve">cross-boundary requests </w:t>
      </w:r>
    </w:p>
    <w:p>
      <w:pPr>
        <w:pStyle w:val="BodyText"/>
        <w:numPr>
          <w:ilvl w:val="0"/>
          <w:numId w:val="64"/>
        </w:numPr>
        <w:tabs>
          <w:tab w:val="clear" w:pos="1134"/>
          <w:tab w:val="left" w:pos="709" w:leader="none"/>
        </w:tabs>
        <w:bidi w:val="0"/>
        <w:spacing w:before="0" w:after="0"/>
        <w:ind w:hanging="283" w:left="709"/>
        <w:jc w:val="left"/>
        <w:rPr/>
      </w:pPr>
      <w:r>
        <w:rPr/>
        <w:t xml:space="preserve">publication, deployment, or deletion events </w:t>
      </w:r>
    </w:p>
    <w:p>
      <w:pPr>
        <w:pStyle w:val="BodyText"/>
        <w:numPr>
          <w:ilvl w:val="0"/>
          <w:numId w:val="64"/>
        </w:numPr>
        <w:tabs>
          <w:tab w:val="clear" w:pos="1134"/>
          <w:tab w:val="left" w:pos="709" w:leader="none"/>
        </w:tabs>
        <w:bidi w:val="0"/>
        <w:ind w:hanging="283" w:left="709"/>
        <w:jc w:val="left"/>
        <w:rPr/>
      </w:pPr>
      <w:r>
        <w:rPr/>
        <w:t xml:space="preserve">actions involving sensitive data </w:t>
      </w:r>
    </w:p>
    <w:p>
      <w:pPr>
        <w:pStyle w:val="Heading3"/>
        <w:bidi w:val="0"/>
        <w:jc w:val="left"/>
        <w:rPr/>
      </w:pPr>
      <w:r>
        <w:rPr/>
        <w:t>10.2 Minimum Receipt Fields</w:t>
      </w:r>
    </w:p>
    <w:p>
      <w:pPr>
        <w:pStyle w:val="BodyText"/>
        <w:bidi w:val="0"/>
        <w:jc w:val="left"/>
        <w:rPr/>
      </w:pPr>
      <w:r>
        <w:rPr/>
        <w:t xml:space="preserve">At minimum, a receipt </w:t>
      </w:r>
      <w:r>
        <w:rPr>
          <w:rStyle w:val="SourceText"/>
        </w:rPr>
        <w:t>MUST</w:t>
      </w:r>
      <w:r>
        <w:rPr/>
        <w:t xml:space="preserve"> contain:</w:t>
      </w:r>
    </w:p>
    <w:tbl>
      <w:tblPr>
        <w:tblW w:w="13731" w:type="dxa"/>
        <w:jc w:val="left"/>
        <w:tblInd w:w="0" w:type="dxa"/>
        <w:tblLayout w:type="fixed"/>
        <w:tblCellMar>
          <w:top w:w="28" w:type="dxa"/>
          <w:left w:w="28" w:type="dxa"/>
          <w:bottom w:w="28" w:type="dxa"/>
          <w:right w:w="28" w:type="dxa"/>
        </w:tblCellMar>
      </w:tblPr>
      <w:tblGrid>
        <w:gridCol w:w="2857"/>
        <w:gridCol w:w="10874"/>
      </w:tblGrid>
      <w:tr>
        <w:trPr>
          <w:tblHeader w:val="true"/>
        </w:trPr>
        <w:tc>
          <w:tcPr>
            <w:tcW w:w="2857" w:type="dxa"/>
            <w:tcBorders/>
            <w:vAlign w:val="center"/>
          </w:tcPr>
          <w:p>
            <w:pPr>
              <w:pStyle w:val="TableHeading"/>
              <w:suppressLineNumbers/>
              <w:bidi w:val="0"/>
              <w:spacing w:before="0" w:after="283"/>
              <w:jc w:val="center"/>
              <w:rPr/>
            </w:pPr>
            <w:r>
              <w:rPr/>
              <w:t>Field</w:t>
            </w:r>
          </w:p>
        </w:tc>
        <w:tc>
          <w:tcPr>
            <w:tcW w:w="10874" w:type="dxa"/>
            <w:tcBorders/>
            <w:vAlign w:val="center"/>
          </w:tcPr>
          <w:p>
            <w:pPr>
              <w:pStyle w:val="TableHeading"/>
              <w:suppressLineNumbers/>
              <w:bidi w:val="0"/>
              <w:spacing w:before="0" w:after="283"/>
              <w:jc w:val="center"/>
              <w:rPr/>
            </w:pPr>
            <w:r>
              <w:rPr/>
              <w:t>Purpose</w:t>
            </w:r>
          </w:p>
        </w:tc>
      </w:tr>
      <w:tr>
        <w:trPr/>
        <w:tc>
          <w:tcPr>
            <w:tcW w:w="2857" w:type="dxa"/>
            <w:tcBorders/>
            <w:vAlign w:val="center"/>
          </w:tcPr>
          <w:p>
            <w:pPr>
              <w:pStyle w:val="TableContents"/>
              <w:bidi w:val="0"/>
              <w:spacing w:before="0" w:after="283"/>
              <w:jc w:val="left"/>
              <w:rPr/>
            </w:pPr>
            <w:r>
              <w:rPr>
                <w:rStyle w:val="SourceText"/>
              </w:rPr>
              <w:t>receipt_id</w:t>
            </w:r>
          </w:p>
        </w:tc>
        <w:tc>
          <w:tcPr>
            <w:tcW w:w="10874" w:type="dxa"/>
            <w:tcBorders/>
            <w:vAlign w:val="center"/>
          </w:tcPr>
          <w:p>
            <w:pPr>
              <w:pStyle w:val="TableContents"/>
              <w:bidi w:val="0"/>
              <w:spacing w:before="0" w:after="283"/>
              <w:jc w:val="left"/>
              <w:rPr/>
            </w:pPr>
            <w:r>
              <w:rPr/>
              <w:t>Unique receipt identifier</w:t>
            </w:r>
          </w:p>
        </w:tc>
      </w:tr>
      <w:tr>
        <w:trPr/>
        <w:tc>
          <w:tcPr>
            <w:tcW w:w="2857" w:type="dxa"/>
            <w:tcBorders/>
            <w:vAlign w:val="center"/>
          </w:tcPr>
          <w:p>
            <w:pPr>
              <w:pStyle w:val="TableContents"/>
              <w:bidi w:val="0"/>
              <w:spacing w:before="0" w:after="283"/>
              <w:jc w:val="left"/>
              <w:rPr/>
            </w:pPr>
            <w:r>
              <w:rPr>
                <w:rStyle w:val="SourceText"/>
              </w:rPr>
              <w:t>gaid</w:t>
            </w:r>
          </w:p>
        </w:tc>
        <w:tc>
          <w:tcPr>
            <w:tcW w:w="10874" w:type="dxa"/>
            <w:tcBorders/>
            <w:vAlign w:val="center"/>
          </w:tcPr>
          <w:p>
            <w:pPr>
              <w:pStyle w:val="TableContents"/>
              <w:bidi w:val="0"/>
              <w:spacing w:before="0" w:after="283"/>
              <w:jc w:val="left"/>
              <w:rPr/>
            </w:pPr>
            <w:r>
              <w:rPr/>
              <w:t>Acting agent identifier</w:t>
            </w:r>
          </w:p>
        </w:tc>
      </w:tr>
      <w:tr>
        <w:trPr/>
        <w:tc>
          <w:tcPr>
            <w:tcW w:w="2857" w:type="dxa"/>
            <w:tcBorders/>
            <w:vAlign w:val="center"/>
          </w:tcPr>
          <w:p>
            <w:pPr>
              <w:pStyle w:val="TableContents"/>
              <w:bidi w:val="0"/>
              <w:spacing w:before="0" w:after="283"/>
              <w:jc w:val="left"/>
              <w:rPr/>
            </w:pPr>
            <w:r>
              <w:rPr>
                <w:rStyle w:val="SourceText"/>
              </w:rPr>
              <w:t>issuer</w:t>
            </w:r>
          </w:p>
        </w:tc>
        <w:tc>
          <w:tcPr>
            <w:tcW w:w="10874" w:type="dxa"/>
            <w:tcBorders/>
            <w:vAlign w:val="center"/>
          </w:tcPr>
          <w:p>
            <w:pPr>
              <w:pStyle w:val="TableContents"/>
              <w:bidi w:val="0"/>
              <w:spacing w:before="0" w:after="283"/>
              <w:jc w:val="left"/>
              <w:rPr/>
            </w:pPr>
            <w:r>
              <w:rPr/>
              <w:t>Issuing or signing authority</w:t>
            </w:r>
          </w:p>
        </w:tc>
      </w:tr>
      <w:tr>
        <w:trPr/>
        <w:tc>
          <w:tcPr>
            <w:tcW w:w="2857" w:type="dxa"/>
            <w:tcBorders/>
            <w:vAlign w:val="center"/>
          </w:tcPr>
          <w:p>
            <w:pPr>
              <w:pStyle w:val="TableContents"/>
              <w:bidi w:val="0"/>
              <w:spacing w:before="0" w:after="283"/>
              <w:jc w:val="left"/>
              <w:rPr/>
            </w:pPr>
            <w:r>
              <w:rPr>
                <w:rStyle w:val="SourceText"/>
              </w:rPr>
              <w:t>principal_ref</w:t>
            </w:r>
          </w:p>
        </w:tc>
        <w:tc>
          <w:tcPr>
            <w:tcW w:w="10874" w:type="dxa"/>
            <w:tcBorders/>
            <w:vAlign w:val="center"/>
          </w:tcPr>
          <w:p>
            <w:pPr>
              <w:pStyle w:val="TableContents"/>
              <w:bidi w:val="0"/>
              <w:spacing w:before="0" w:after="283"/>
              <w:jc w:val="left"/>
              <w:rPr/>
            </w:pPr>
            <w:r>
              <w:rPr/>
              <w:t>Human or system authority reference, with privacy-preserving pseudonymization where needed</w:t>
            </w:r>
          </w:p>
        </w:tc>
      </w:tr>
      <w:tr>
        <w:trPr/>
        <w:tc>
          <w:tcPr>
            <w:tcW w:w="2857" w:type="dxa"/>
            <w:tcBorders/>
            <w:vAlign w:val="center"/>
          </w:tcPr>
          <w:p>
            <w:pPr>
              <w:pStyle w:val="TableContents"/>
              <w:bidi w:val="0"/>
              <w:spacing w:before="0" w:after="283"/>
              <w:jc w:val="left"/>
              <w:rPr/>
            </w:pPr>
            <w:r>
              <w:rPr>
                <w:rStyle w:val="SourceText"/>
              </w:rPr>
              <w:t>timestamp</w:t>
            </w:r>
          </w:p>
        </w:tc>
        <w:tc>
          <w:tcPr>
            <w:tcW w:w="10874" w:type="dxa"/>
            <w:tcBorders/>
            <w:vAlign w:val="center"/>
          </w:tcPr>
          <w:p>
            <w:pPr>
              <w:pStyle w:val="TableContents"/>
              <w:bidi w:val="0"/>
              <w:spacing w:before="0" w:after="283"/>
              <w:jc w:val="left"/>
              <w:rPr/>
            </w:pPr>
            <w:r>
              <w:rPr/>
              <w:t>Action timestamp</w:t>
            </w:r>
          </w:p>
        </w:tc>
      </w:tr>
      <w:tr>
        <w:trPr/>
        <w:tc>
          <w:tcPr>
            <w:tcW w:w="2857" w:type="dxa"/>
            <w:tcBorders/>
            <w:vAlign w:val="center"/>
          </w:tcPr>
          <w:p>
            <w:pPr>
              <w:pStyle w:val="TableContents"/>
              <w:bidi w:val="0"/>
              <w:spacing w:before="0" w:after="283"/>
              <w:jc w:val="left"/>
              <w:rPr/>
            </w:pPr>
            <w:r>
              <w:rPr>
                <w:rStyle w:val="SourceText"/>
              </w:rPr>
              <w:t>action_type</w:t>
            </w:r>
          </w:p>
        </w:tc>
        <w:tc>
          <w:tcPr>
            <w:tcW w:w="10874" w:type="dxa"/>
            <w:tcBorders/>
            <w:vAlign w:val="center"/>
          </w:tcPr>
          <w:p>
            <w:pPr>
              <w:pStyle w:val="TableContents"/>
              <w:bidi w:val="0"/>
              <w:spacing w:before="0" w:after="283"/>
              <w:jc w:val="left"/>
              <w:rPr/>
            </w:pPr>
            <w:r>
              <w:rPr/>
              <w:t>Action or tool classification</w:t>
            </w:r>
          </w:p>
        </w:tc>
      </w:tr>
      <w:tr>
        <w:trPr/>
        <w:tc>
          <w:tcPr>
            <w:tcW w:w="2857" w:type="dxa"/>
            <w:tcBorders/>
            <w:vAlign w:val="center"/>
          </w:tcPr>
          <w:p>
            <w:pPr>
              <w:pStyle w:val="TableContents"/>
              <w:bidi w:val="0"/>
              <w:spacing w:before="0" w:after="283"/>
              <w:jc w:val="left"/>
              <w:rPr/>
            </w:pPr>
            <w:r>
              <w:rPr>
                <w:rStyle w:val="SourceText"/>
              </w:rPr>
              <w:t>authorization_class</w:t>
            </w:r>
          </w:p>
        </w:tc>
        <w:tc>
          <w:tcPr>
            <w:tcW w:w="10874" w:type="dxa"/>
            <w:tcBorders/>
            <w:vAlign w:val="center"/>
          </w:tcPr>
          <w:p>
            <w:pPr>
              <w:pStyle w:val="TableContents"/>
              <w:bidi w:val="0"/>
              <w:spacing w:before="0" w:after="283"/>
              <w:jc w:val="left"/>
              <w:rPr/>
            </w:pPr>
            <w:r>
              <w:rPr/>
              <w:t>Portable action class reference</w:t>
            </w:r>
          </w:p>
        </w:tc>
      </w:tr>
      <w:tr>
        <w:trPr/>
        <w:tc>
          <w:tcPr>
            <w:tcW w:w="2857" w:type="dxa"/>
            <w:tcBorders/>
            <w:vAlign w:val="center"/>
          </w:tcPr>
          <w:p>
            <w:pPr>
              <w:pStyle w:val="TableContents"/>
              <w:bidi w:val="0"/>
              <w:spacing w:before="0" w:after="283"/>
              <w:jc w:val="left"/>
              <w:rPr/>
            </w:pPr>
            <w:r>
              <w:rPr>
                <w:rStyle w:val="SourceText"/>
              </w:rPr>
              <w:t>execution_mode</w:t>
            </w:r>
          </w:p>
        </w:tc>
        <w:tc>
          <w:tcPr>
            <w:tcW w:w="10874" w:type="dxa"/>
            <w:tcBorders/>
            <w:vAlign w:val="center"/>
          </w:tcPr>
          <w:p>
            <w:pPr>
              <w:pStyle w:val="TableContents"/>
              <w:bidi w:val="0"/>
              <w:spacing w:before="0" w:after="283"/>
              <w:jc w:val="left"/>
              <w:rPr/>
            </w:pPr>
            <w:r>
              <w:rPr/>
              <w:t>Proposal, immediate, review-after, or equivalent</w:t>
            </w:r>
          </w:p>
        </w:tc>
      </w:tr>
      <w:tr>
        <w:trPr/>
        <w:tc>
          <w:tcPr>
            <w:tcW w:w="2857" w:type="dxa"/>
            <w:tcBorders/>
            <w:vAlign w:val="center"/>
          </w:tcPr>
          <w:p>
            <w:pPr>
              <w:pStyle w:val="TableContents"/>
              <w:bidi w:val="0"/>
              <w:spacing w:before="0" w:after="283"/>
              <w:jc w:val="left"/>
              <w:rPr/>
            </w:pPr>
            <w:r>
              <w:rPr>
                <w:rStyle w:val="SourceText"/>
              </w:rPr>
              <w:t>target_ref</w:t>
            </w:r>
          </w:p>
        </w:tc>
        <w:tc>
          <w:tcPr>
            <w:tcW w:w="10874" w:type="dxa"/>
            <w:tcBorders/>
            <w:vAlign w:val="center"/>
          </w:tcPr>
          <w:p>
            <w:pPr>
              <w:pStyle w:val="TableContents"/>
              <w:bidi w:val="0"/>
              <w:spacing w:before="0" w:after="283"/>
              <w:jc w:val="left"/>
              <w:rPr/>
            </w:pPr>
            <w:r>
              <w:rPr/>
              <w:t xml:space="preserve">Target system, record, or resource reference, preferably as a URI, URN, </w:t>
            </w:r>
            <w:r>
              <w:rPr>
                <w:rStyle w:val="SourceText"/>
              </w:rPr>
              <w:t>purl</w:t>
            </w:r>
            <w:r>
              <w:rPr/>
              <w:t>, or similarly stable typed locator</w:t>
            </w:r>
          </w:p>
        </w:tc>
      </w:tr>
      <w:tr>
        <w:trPr/>
        <w:tc>
          <w:tcPr>
            <w:tcW w:w="2857" w:type="dxa"/>
            <w:tcBorders/>
            <w:vAlign w:val="center"/>
          </w:tcPr>
          <w:p>
            <w:pPr>
              <w:pStyle w:val="TableContents"/>
              <w:bidi w:val="0"/>
              <w:spacing w:before="0" w:after="283"/>
              <w:jc w:val="left"/>
              <w:rPr/>
            </w:pPr>
            <w:r>
              <w:rPr>
                <w:rStyle w:val="SourceText"/>
              </w:rPr>
              <w:t>request_hash</w:t>
            </w:r>
          </w:p>
        </w:tc>
        <w:tc>
          <w:tcPr>
            <w:tcW w:w="10874" w:type="dxa"/>
            <w:tcBorders/>
            <w:vAlign w:val="center"/>
          </w:tcPr>
          <w:p>
            <w:pPr>
              <w:pStyle w:val="TableContents"/>
              <w:bidi w:val="0"/>
              <w:spacing w:before="0" w:after="283"/>
              <w:jc w:val="left"/>
              <w:rPr/>
            </w:pPr>
            <w:r>
              <w:rPr/>
              <w:t>Hash of governing request or parameters</w:t>
            </w:r>
          </w:p>
        </w:tc>
      </w:tr>
      <w:tr>
        <w:trPr/>
        <w:tc>
          <w:tcPr>
            <w:tcW w:w="2857" w:type="dxa"/>
            <w:tcBorders/>
            <w:vAlign w:val="center"/>
          </w:tcPr>
          <w:p>
            <w:pPr>
              <w:pStyle w:val="TableContents"/>
              <w:bidi w:val="0"/>
              <w:spacing w:before="0" w:after="283"/>
              <w:jc w:val="left"/>
              <w:rPr/>
            </w:pPr>
            <w:r>
              <w:rPr>
                <w:rStyle w:val="SourceText"/>
              </w:rPr>
              <w:t>result_hash</w:t>
            </w:r>
          </w:p>
        </w:tc>
        <w:tc>
          <w:tcPr>
            <w:tcW w:w="10874" w:type="dxa"/>
            <w:tcBorders/>
            <w:vAlign w:val="center"/>
          </w:tcPr>
          <w:p>
            <w:pPr>
              <w:pStyle w:val="TableContents"/>
              <w:bidi w:val="0"/>
              <w:spacing w:before="0" w:after="283"/>
              <w:jc w:val="left"/>
              <w:rPr/>
            </w:pPr>
            <w:r>
              <w:rPr/>
              <w:t>Hash or digest of the resulting artifact, output, or change set where applicable</w:t>
            </w:r>
          </w:p>
        </w:tc>
      </w:tr>
      <w:tr>
        <w:trPr/>
        <w:tc>
          <w:tcPr>
            <w:tcW w:w="2857" w:type="dxa"/>
            <w:tcBorders/>
            <w:vAlign w:val="center"/>
          </w:tcPr>
          <w:p>
            <w:pPr>
              <w:pStyle w:val="TableContents"/>
              <w:bidi w:val="0"/>
              <w:spacing w:before="0" w:after="283"/>
              <w:jc w:val="left"/>
              <w:rPr/>
            </w:pPr>
            <w:r>
              <w:rPr>
                <w:rStyle w:val="SourceText"/>
              </w:rPr>
              <w:t>trace_context</w:t>
            </w:r>
          </w:p>
        </w:tc>
        <w:tc>
          <w:tcPr>
            <w:tcW w:w="10874" w:type="dxa"/>
            <w:tcBorders/>
            <w:vAlign w:val="center"/>
          </w:tcPr>
          <w:p>
            <w:pPr>
              <w:pStyle w:val="TableContents"/>
              <w:bidi w:val="0"/>
              <w:spacing w:before="0" w:after="283"/>
              <w:jc w:val="left"/>
              <w:rPr/>
            </w:pPr>
            <w:r>
              <w:rPr/>
              <w:t>Trace identifiers sufficient for distributed correlation</w:t>
            </w:r>
          </w:p>
        </w:tc>
      </w:tr>
      <w:tr>
        <w:trPr/>
        <w:tc>
          <w:tcPr>
            <w:tcW w:w="2857" w:type="dxa"/>
            <w:tcBorders/>
            <w:vAlign w:val="center"/>
          </w:tcPr>
          <w:p>
            <w:pPr>
              <w:pStyle w:val="TableContents"/>
              <w:bidi w:val="0"/>
              <w:spacing w:before="0" w:after="283"/>
              <w:jc w:val="left"/>
              <w:rPr/>
            </w:pPr>
            <w:r>
              <w:rPr>
                <w:rStyle w:val="SourceText"/>
              </w:rPr>
              <w:t>parent_receipt</w:t>
            </w:r>
          </w:p>
        </w:tc>
        <w:tc>
          <w:tcPr>
            <w:tcW w:w="10874" w:type="dxa"/>
            <w:tcBorders/>
            <w:vAlign w:val="center"/>
          </w:tcPr>
          <w:p>
            <w:pPr>
              <w:pStyle w:val="TableContents"/>
              <w:bidi w:val="0"/>
              <w:spacing w:before="0" w:after="283"/>
              <w:jc w:val="left"/>
              <w:rPr/>
            </w:pPr>
            <w:r>
              <w:rPr/>
              <w:t>Parent receipt where the action is delegated or derived</w:t>
            </w:r>
          </w:p>
        </w:tc>
      </w:tr>
      <w:tr>
        <w:trPr/>
        <w:tc>
          <w:tcPr>
            <w:tcW w:w="2857" w:type="dxa"/>
            <w:tcBorders/>
            <w:vAlign w:val="center"/>
          </w:tcPr>
          <w:p>
            <w:pPr>
              <w:pStyle w:val="TableContents"/>
              <w:bidi w:val="0"/>
              <w:spacing w:before="0" w:after="283"/>
              <w:jc w:val="left"/>
              <w:rPr/>
            </w:pPr>
            <w:r>
              <w:rPr>
                <w:rStyle w:val="SourceText"/>
              </w:rPr>
              <w:t>evidence_refs</w:t>
            </w:r>
          </w:p>
        </w:tc>
        <w:tc>
          <w:tcPr>
            <w:tcW w:w="10874" w:type="dxa"/>
            <w:tcBorders/>
            <w:vAlign w:val="center"/>
          </w:tcPr>
          <w:p>
            <w:pPr>
              <w:pStyle w:val="TableContents"/>
              <w:bidi w:val="0"/>
              <w:spacing w:before="0" w:after="283"/>
              <w:jc w:val="left"/>
              <w:rPr/>
            </w:pPr>
            <w:r>
              <w:rPr/>
              <w:t>Supporting evidence or artifact references</w:t>
            </w:r>
          </w:p>
        </w:tc>
      </w:tr>
      <w:tr>
        <w:trPr/>
        <w:tc>
          <w:tcPr>
            <w:tcW w:w="2857" w:type="dxa"/>
            <w:tcBorders/>
            <w:vAlign w:val="center"/>
          </w:tcPr>
          <w:p>
            <w:pPr>
              <w:pStyle w:val="TableContents"/>
              <w:bidi w:val="0"/>
              <w:spacing w:before="0" w:after="283"/>
              <w:jc w:val="left"/>
              <w:rPr/>
            </w:pPr>
            <w:r>
              <w:rPr>
                <w:rStyle w:val="SourceText"/>
              </w:rPr>
              <w:t>signature</w:t>
            </w:r>
          </w:p>
        </w:tc>
        <w:tc>
          <w:tcPr>
            <w:tcW w:w="10874" w:type="dxa"/>
            <w:tcBorders/>
            <w:vAlign w:val="center"/>
          </w:tcPr>
          <w:p>
            <w:pPr>
              <w:pStyle w:val="TableContents"/>
              <w:bidi w:val="0"/>
              <w:spacing w:before="0" w:after="283"/>
              <w:jc w:val="left"/>
              <w:rPr/>
            </w:pPr>
            <w:r>
              <w:rPr/>
              <w:t>Signature or equivalent integrity mechanism</w:t>
            </w:r>
          </w:p>
        </w:tc>
      </w:tr>
    </w:tbl>
    <w:p>
      <w:pPr>
        <w:pStyle w:val="Heading4"/>
        <w:bidi w:val="0"/>
        <w:jc w:val="left"/>
        <w:rPr/>
      </w:pPr>
      <w:r>
        <w:rPr/>
        <w:t>10.2.1 Principle-Directed Execution Binding</w:t>
      </w:r>
    </w:p>
    <w:p>
      <w:pPr>
        <w:pStyle w:val="BodyText"/>
        <w:bidi w:val="0"/>
        <w:jc w:val="left"/>
        <w:rPr/>
      </w:pPr>
      <w:r>
        <w:rPr>
          <w:rStyle w:val="Strong"/>
        </w:rPr>
        <w:t>Working-draft amendment, EP-B932453F / BI-A484D58F.</w:t>
      </w:r>
      <w:r>
        <w:rPr/>
        <w:t xml:space="preserve"> </w:t>
      </w:r>
      <w:r>
        <w:rPr>
          <w:rStyle w:val="SourceText"/>
        </w:rPr>
        <w:t>GAID-PD-001</w:t>
      </w:r>
      <w:r>
        <w:rPr/>
        <w:t xml:space="preserve">: when a receipt represents an action governed by </w:t>
      </w:r>
      <w:r>
        <w:fldChar w:fldCharType="begin"/>
      </w:r>
      <w:r>
        <w:rPr>
          <w:rStyle w:val="Hyperlink"/>
        </w:rPr>
        <w:instrText xml:space="preserve"> HYPERLINK "../in/trusted-ai-kernel.md" \l "713-principle-directed-decision-contract"</w:instrText>
      </w:r>
      <w:r>
        <w:rPr>
          <w:rStyle w:val="Hyperlink"/>
        </w:rPr>
        <w:fldChar w:fldCharType="separate"/>
      </w:r>
      <w:r>
        <w:rPr>
          <w:rStyle w:val="Hyperlink"/>
        </w:rPr>
        <w:t>TAK §7.13</w:t>
      </w:r>
      <w:r>
        <w:rPr>
          <w:rStyle w:val="Hyperlink"/>
        </w:rPr>
        <w:fldChar w:fldCharType="end"/>
      </w:r>
      <w:r>
        <w:rPr/>
        <w:t xml:space="preserve">, it </w:t>
      </w:r>
      <w:r>
        <w:rPr>
          <w:rStyle w:val="SourceText"/>
        </w:rPr>
        <w:t>MUST</w:t>
      </w:r>
      <w:r>
        <w:rPr/>
        <w:t xml:space="preserve"> resolve the evaluated operating-profile version, decision reference, authorization reference and effect/attempt identity. A later observation </w:t>
      </w:r>
      <w:r>
        <w:rPr>
          <w:rStyle w:val="SourceText"/>
        </w:rPr>
        <w:t>MUST</w:t>
      </w:r>
      <w:r>
        <w:rPr/>
        <w:t xml:space="preserve"> link to that effect identity and distinguish confirmed success, confirmed failure, reversal and an uncertain effect. References may be access-controlled; verification responses expose only the relying party's authorized view under §10.5.</w:t>
      </w:r>
    </w:p>
    <w:p>
      <w:pPr>
        <w:pStyle w:val="BodyText"/>
        <w:bidi w:val="0"/>
        <w:jc w:val="left"/>
        <w:rPr/>
      </w:pPr>
      <w:r>
        <w:rPr/>
        <w:t>This binds identity and provenance. TAK owns the decision and execution controls; the receipt does not grant permission. A transported assertion is verified against its issuer, scope, revision and current status before reliance. Independent review and a versioned implementation statement are required before claiming support for this proposed amendment.</w:t>
      </w:r>
    </w:p>
    <w:p>
      <w:pPr>
        <w:pStyle w:val="Heading3"/>
        <w:bidi w:val="0"/>
        <w:jc w:val="left"/>
        <w:rPr/>
      </w:pPr>
      <w:r>
        <w:rPr/>
        <w:t>10.3 Trace Context and Delegation</w:t>
      </w:r>
    </w:p>
    <w:p>
      <w:pPr>
        <w:pStyle w:val="BodyText"/>
        <w:bidi w:val="0"/>
        <w:jc w:val="left"/>
        <w:rPr/>
      </w:pPr>
      <w:r>
        <w:rPr/>
        <w:t>For multi-step or multi-agent flows:</w:t>
      </w:r>
    </w:p>
    <w:p>
      <w:pPr>
        <w:pStyle w:val="BodyText"/>
        <w:numPr>
          <w:ilvl w:val="0"/>
          <w:numId w:val="65"/>
        </w:numPr>
        <w:tabs>
          <w:tab w:val="clear" w:pos="1134"/>
          <w:tab w:val="left" w:pos="709" w:leader="none"/>
        </w:tabs>
        <w:bidi w:val="0"/>
        <w:spacing w:before="0" w:after="0"/>
        <w:ind w:hanging="283" w:left="709"/>
        <w:jc w:val="left"/>
        <w:rPr/>
      </w:pPr>
      <w:r>
        <w:rPr/>
        <w:t xml:space="preserve">the initiating trace context </w:t>
      </w:r>
      <w:r>
        <w:rPr>
          <w:rStyle w:val="SourceText"/>
        </w:rPr>
        <w:t>SHOULD</w:t>
      </w:r>
      <w:r>
        <w:rPr/>
        <w:t xml:space="preserve"> be preserved end to end </w:t>
      </w:r>
    </w:p>
    <w:p>
      <w:pPr>
        <w:pStyle w:val="BodyText"/>
        <w:numPr>
          <w:ilvl w:val="0"/>
          <w:numId w:val="65"/>
        </w:numPr>
        <w:tabs>
          <w:tab w:val="clear" w:pos="1134"/>
          <w:tab w:val="left" w:pos="709" w:leader="none"/>
        </w:tabs>
        <w:bidi w:val="0"/>
        <w:spacing w:before="0" w:after="0"/>
        <w:ind w:hanging="283" w:left="709"/>
        <w:jc w:val="left"/>
        <w:rPr/>
      </w:pPr>
      <w:r>
        <w:rPr/>
        <w:t xml:space="preserve">delegated actions </w:t>
      </w:r>
      <w:r>
        <w:rPr>
          <w:rStyle w:val="SourceText"/>
        </w:rPr>
        <w:t>MUST</w:t>
      </w:r>
      <w:r>
        <w:rPr/>
        <w:t xml:space="preserve"> retain a parent-child receipt relationship </w:t>
      </w:r>
    </w:p>
    <w:p>
      <w:pPr>
        <w:pStyle w:val="BodyText"/>
        <w:numPr>
          <w:ilvl w:val="0"/>
          <w:numId w:val="65"/>
        </w:numPr>
        <w:tabs>
          <w:tab w:val="clear" w:pos="1134"/>
          <w:tab w:val="left" w:pos="709" w:leader="none"/>
        </w:tabs>
        <w:bidi w:val="0"/>
        <w:spacing w:before="0" w:after="0"/>
        <w:ind w:hanging="283" w:left="709"/>
        <w:jc w:val="left"/>
        <w:rPr/>
      </w:pPr>
      <w:r>
        <w:rPr/>
        <w:t xml:space="preserve">the delegated agent's </w:t>
      </w:r>
      <w:r>
        <w:rPr>
          <w:rStyle w:val="SourceText"/>
        </w:rPr>
        <w:t>GAID</w:t>
      </w:r>
      <w:r>
        <w:rPr/>
        <w:t xml:space="preserve"> </w:t>
      </w:r>
      <w:r>
        <w:rPr>
          <w:rStyle w:val="SourceText"/>
        </w:rPr>
        <w:t>MUST</w:t>
      </w:r>
      <w:r>
        <w:rPr/>
        <w:t xml:space="preserve"> be recorded </w:t>
      </w:r>
    </w:p>
    <w:p>
      <w:pPr>
        <w:pStyle w:val="BodyText"/>
        <w:numPr>
          <w:ilvl w:val="0"/>
          <w:numId w:val="65"/>
        </w:numPr>
        <w:tabs>
          <w:tab w:val="clear" w:pos="1134"/>
          <w:tab w:val="left" w:pos="709" w:leader="none"/>
        </w:tabs>
        <w:bidi w:val="0"/>
        <w:ind w:hanging="283" w:left="709"/>
        <w:jc w:val="left"/>
        <w:rPr/>
      </w:pPr>
      <w:r>
        <w:rPr/>
        <w:t xml:space="preserve">the delegating agent's </w:t>
      </w:r>
      <w:r>
        <w:rPr>
          <w:rStyle w:val="SourceText"/>
        </w:rPr>
        <w:t>GAID</w:t>
      </w:r>
      <w:r>
        <w:rPr/>
        <w:t xml:space="preserve"> </w:t>
      </w:r>
      <w:r>
        <w:rPr>
          <w:rStyle w:val="SourceText"/>
        </w:rPr>
        <w:t>MUST</w:t>
      </w:r>
      <w:r>
        <w:rPr/>
        <w:t xml:space="preserve"> remain visible in the protected custody chain and to authorized auditors; an external boundary projection applies Section 10.6 </w:t>
      </w:r>
    </w:p>
    <w:p>
      <w:pPr>
        <w:pStyle w:val="Heading3"/>
        <w:bidi w:val="0"/>
        <w:jc w:val="left"/>
        <w:rPr/>
      </w:pPr>
      <w:r>
        <w:rPr/>
        <w:t>10.4 Integrity and Non-Repudiation</w:t>
      </w:r>
    </w:p>
    <w:p>
      <w:pPr>
        <w:pStyle w:val="BodyText"/>
        <w:bidi w:val="0"/>
        <w:jc w:val="left"/>
        <w:rPr/>
      </w:pPr>
      <w:r>
        <w:rPr/>
        <w:t xml:space="preserve">For </w:t>
      </w:r>
      <w:r>
        <w:rPr>
          <w:rStyle w:val="SourceText"/>
        </w:rPr>
        <w:t>GAID-Federated</w:t>
      </w:r>
      <w:r>
        <w:rPr/>
        <w:t xml:space="preserve"> and above:</w:t>
      </w:r>
    </w:p>
    <w:p>
      <w:pPr>
        <w:pStyle w:val="BodyText"/>
        <w:numPr>
          <w:ilvl w:val="0"/>
          <w:numId w:val="66"/>
        </w:numPr>
        <w:tabs>
          <w:tab w:val="clear" w:pos="1134"/>
          <w:tab w:val="left" w:pos="709" w:leader="none"/>
        </w:tabs>
        <w:bidi w:val="0"/>
        <w:spacing w:before="0" w:after="0"/>
        <w:ind w:hanging="283" w:left="709"/>
        <w:jc w:val="left"/>
        <w:rPr/>
      </w:pPr>
      <w:r>
        <w:rPr/>
        <w:t xml:space="preserve">receipts </w:t>
      </w:r>
      <w:r>
        <w:rPr>
          <w:rStyle w:val="SourceText"/>
        </w:rPr>
        <w:t>MUST</w:t>
      </w:r>
      <w:r>
        <w:rPr/>
        <w:t xml:space="preserve"> be tamper-evident </w:t>
      </w:r>
    </w:p>
    <w:p>
      <w:pPr>
        <w:pStyle w:val="BodyText"/>
        <w:numPr>
          <w:ilvl w:val="0"/>
          <w:numId w:val="66"/>
        </w:numPr>
        <w:tabs>
          <w:tab w:val="clear" w:pos="1134"/>
          <w:tab w:val="left" w:pos="709" w:leader="none"/>
        </w:tabs>
        <w:bidi w:val="0"/>
        <w:spacing w:before="0" w:after="0"/>
        <w:ind w:hanging="283" w:left="709"/>
        <w:jc w:val="left"/>
        <w:rPr/>
      </w:pPr>
      <w:r>
        <w:rPr/>
        <w:t xml:space="preserve">signatures </w:t>
      </w:r>
      <w:r>
        <w:rPr>
          <w:rStyle w:val="SourceText"/>
        </w:rPr>
        <w:t>SHOULD</w:t>
      </w:r>
      <w:r>
        <w:rPr/>
        <w:t xml:space="preserve"> use </w:t>
      </w:r>
      <w:r>
        <w:rPr>
          <w:rStyle w:val="SourceText"/>
        </w:rPr>
        <w:t>RFC 9421</w:t>
      </w:r>
      <w:r>
        <w:rPr/>
        <w:t xml:space="preserve">, </w:t>
      </w:r>
      <w:r>
        <w:rPr>
          <w:rStyle w:val="SourceText"/>
        </w:rPr>
        <w:t>JOSE</w:t>
      </w:r>
      <w:r>
        <w:rPr/>
        <w:t xml:space="preserve">, </w:t>
      </w:r>
      <w:r>
        <w:rPr>
          <w:rStyle w:val="SourceText"/>
        </w:rPr>
        <w:t>COSE</w:t>
      </w:r>
      <w:r>
        <w:rPr/>
        <w:t xml:space="preserve">, </w:t>
      </w:r>
      <w:r>
        <w:rPr>
          <w:rStyle w:val="SourceText"/>
        </w:rPr>
        <w:t>DSSE</w:t>
      </w:r>
      <w:r>
        <w:rPr/>
        <w:t xml:space="preserve">, or an equivalent standard mechanism </w:t>
      </w:r>
    </w:p>
    <w:p>
      <w:pPr>
        <w:pStyle w:val="BodyText"/>
        <w:numPr>
          <w:ilvl w:val="0"/>
          <w:numId w:val="66"/>
        </w:numPr>
        <w:tabs>
          <w:tab w:val="clear" w:pos="1134"/>
          <w:tab w:val="left" w:pos="709" w:leader="none"/>
        </w:tabs>
        <w:bidi w:val="0"/>
        <w:spacing w:before="0" w:after="0"/>
        <w:ind w:hanging="283" w:left="709"/>
        <w:jc w:val="left"/>
        <w:rPr/>
      </w:pPr>
      <w:r>
        <w:rPr/>
        <w:t xml:space="preserve">verification material </w:t>
      </w:r>
      <w:r>
        <w:rPr>
          <w:rStyle w:val="SourceText"/>
        </w:rPr>
        <w:t>MUST</w:t>
      </w:r>
      <w:r>
        <w:rPr/>
        <w:t xml:space="preserve"> be discoverable through the </w:t>
      </w:r>
      <w:r>
        <w:rPr>
          <w:rStyle w:val="SourceText"/>
        </w:rPr>
        <w:t>AIDoc</w:t>
      </w:r>
      <w:r>
        <w:rPr/>
        <w:t xml:space="preserve"> or issuer metadata </w:t>
      </w:r>
    </w:p>
    <w:p>
      <w:pPr>
        <w:pStyle w:val="BodyText"/>
        <w:numPr>
          <w:ilvl w:val="0"/>
          <w:numId w:val="66"/>
        </w:numPr>
        <w:tabs>
          <w:tab w:val="clear" w:pos="1134"/>
          <w:tab w:val="left" w:pos="709" w:leader="none"/>
        </w:tabs>
        <w:bidi w:val="0"/>
        <w:spacing w:before="0" w:after="0"/>
        <w:ind w:hanging="283" w:left="709"/>
        <w:jc w:val="left"/>
        <w:rPr/>
      </w:pPr>
      <w:r>
        <w:rPr/>
        <w:t xml:space="preserve">sender-constrained token or proof-of-possession binding such as </w:t>
      </w:r>
      <w:r>
        <w:rPr>
          <w:rStyle w:val="SourceText"/>
        </w:rPr>
        <w:t>DPoP</w:t>
      </w:r>
      <w:r>
        <w:rPr/>
        <w:t xml:space="preserve"> </w:t>
      </w:r>
      <w:r>
        <w:rPr>
          <w:rStyle w:val="SourceText"/>
        </w:rPr>
        <w:t>SHOULD</w:t>
      </w:r>
      <w:r>
        <w:rPr/>
        <w:t xml:space="preserve"> be used where receipts depend on bearer-style access tokens across trust boundaries </w:t>
      </w:r>
    </w:p>
    <w:p>
      <w:pPr>
        <w:pStyle w:val="BodyText"/>
        <w:numPr>
          <w:ilvl w:val="0"/>
          <w:numId w:val="66"/>
        </w:numPr>
        <w:tabs>
          <w:tab w:val="clear" w:pos="1134"/>
          <w:tab w:val="left" w:pos="709" w:leader="none"/>
        </w:tabs>
        <w:bidi w:val="0"/>
        <w:spacing w:before="0" w:after="0"/>
        <w:ind w:hanging="283" w:left="709"/>
        <w:jc w:val="left"/>
        <w:rPr/>
      </w:pPr>
      <w:r>
        <w:rPr/>
        <w:t xml:space="preserve">content artifacts produced or transformed by agents </w:t>
      </w:r>
      <w:r>
        <w:rPr>
          <w:rStyle w:val="SourceText"/>
        </w:rPr>
        <w:t>SHOULD</w:t>
      </w:r>
      <w:r>
        <w:rPr/>
        <w:t xml:space="preserve"> support provenance mechanisms such as </w:t>
      </w:r>
      <w:r>
        <w:rPr>
          <w:rStyle w:val="SourceText"/>
        </w:rPr>
        <w:t>C2PA</w:t>
      </w:r>
      <w:r>
        <w:rPr/>
        <w:t xml:space="preserve"> where the relying-party context expects content-level authenticity or AI-origin disclosure </w:t>
      </w:r>
    </w:p>
    <w:p>
      <w:pPr>
        <w:pStyle w:val="BodyText"/>
        <w:numPr>
          <w:ilvl w:val="0"/>
          <w:numId w:val="66"/>
        </w:numPr>
        <w:tabs>
          <w:tab w:val="clear" w:pos="1134"/>
          <w:tab w:val="left" w:pos="709" w:leader="none"/>
        </w:tabs>
        <w:bidi w:val="0"/>
        <w:ind w:hanging="283" w:left="709"/>
        <w:jc w:val="left"/>
        <w:rPr/>
      </w:pPr>
      <w:r>
        <w:rPr/>
        <w:t xml:space="preserve">implementers </w:t>
      </w:r>
      <w:r>
        <w:rPr>
          <w:rStyle w:val="SourceText"/>
        </w:rPr>
        <w:t>SHOULD</w:t>
      </w:r>
      <w:r>
        <w:rPr/>
        <w:t xml:space="preserve"> prefer working evidence stacks such as </w:t>
      </w:r>
      <w:r>
        <w:rPr>
          <w:rStyle w:val="SourceText"/>
        </w:rPr>
        <w:t>in-toto</w:t>
      </w:r>
      <w:r>
        <w:rPr/>
        <w:t xml:space="preserve"> attestations and </w:t>
      </w:r>
      <w:r>
        <w:rPr>
          <w:rStyle w:val="SourceText"/>
        </w:rPr>
        <w:t>Sigstore</w:t>
      </w:r>
      <w:r>
        <w:rPr/>
        <w:t xml:space="preserve"> verification or transparency services where they fit the deployment model, rather than inventing proprietary receipt envelopes </w:t>
      </w:r>
    </w:p>
    <w:p>
      <w:pPr>
        <w:pStyle w:val="Heading3"/>
        <w:bidi w:val="0"/>
        <w:jc w:val="left"/>
        <w:rPr/>
      </w:pPr>
      <w:r>
        <w:rPr/>
        <w:t>10.5 Privacy and Minimization</w:t>
      </w:r>
    </w:p>
    <w:p>
      <w:pPr>
        <w:pStyle w:val="BodyText"/>
        <w:bidi w:val="0"/>
        <w:jc w:val="left"/>
        <w:rPr/>
      </w:pPr>
      <w:r>
        <w:rPr/>
        <w:t xml:space="preserve">Receipts </w:t>
      </w:r>
      <w:r>
        <w:rPr>
          <w:rStyle w:val="SourceText"/>
        </w:rPr>
        <w:t>MUST</w:t>
      </w:r>
      <w:r>
        <w:rPr/>
        <w:t xml:space="preserve"> minimize unnecessary disclosure.</w:t>
      </w:r>
    </w:p>
    <w:p>
      <w:pPr>
        <w:pStyle w:val="BodyText"/>
        <w:bidi w:val="0"/>
        <w:jc w:val="left"/>
        <w:rPr/>
      </w:pPr>
      <w:r>
        <w:rPr/>
        <w:t>Accordingly:</w:t>
      </w:r>
    </w:p>
    <w:p>
      <w:pPr>
        <w:pStyle w:val="BodyText"/>
        <w:numPr>
          <w:ilvl w:val="0"/>
          <w:numId w:val="67"/>
        </w:numPr>
        <w:tabs>
          <w:tab w:val="clear" w:pos="1134"/>
          <w:tab w:val="left" w:pos="709" w:leader="none"/>
        </w:tabs>
        <w:bidi w:val="0"/>
        <w:spacing w:before="0" w:after="0"/>
        <w:ind w:hanging="283" w:left="709"/>
        <w:jc w:val="left"/>
        <w:rPr/>
      </w:pPr>
      <w:r>
        <w:rPr/>
        <w:t xml:space="preserve">raw prompt text </w:t>
      </w:r>
      <w:r>
        <w:rPr>
          <w:rStyle w:val="SourceText"/>
        </w:rPr>
        <w:t>SHOULD NOT</w:t>
      </w:r>
      <w:r>
        <w:rPr/>
        <w:t xml:space="preserve"> be included by default in public receipts </w:t>
      </w:r>
    </w:p>
    <w:p>
      <w:pPr>
        <w:pStyle w:val="BodyText"/>
        <w:numPr>
          <w:ilvl w:val="0"/>
          <w:numId w:val="67"/>
        </w:numPr>
        <w:tabs>
          <w:tab w:val="clear" w:pos="1134"/>
          <w:tab w:val="left" w:pos="709" w:leader="none"/>
        </w:tabs>
        <w:bidi w:val="0"/>
        <w:spacing w:before="0" w:after="0"/>
        <w:ind w:hanging="283" w:left="709"/>
        <w:jc w:val="left"/>
        <w:rPr/>
      </w:pPr>
      <w:r>
        <w:rPr/>
        <w:t xml:space="preserve">sensitive user content </w:t>
      </w:r>
      <w:r>
        <w:rPr>
          <w:rStyle w:val="SourceText"/>
        </w:rPr>
        <w:t>SHOULD</w:t>
      </w:r>
      <w:r>
        <w:rPr/>
        <w:t xml:space="preserve"> be referenced by digest, pointer, or protected evidence store rather than copied directly </w:t>
      </w:r>
    </w:p>
    <w:p>
      <w:pPr>
        <w:pStyle w:val="BodyText"/>
        <w:numPr>
          <w:ilvl w:val="0"/>
          <w:numId w:val="67"/>
        </w:numPr>
        <w:tabs>
          <w:tab w:val="clear" w:pos="1134"/>
          <w:tab w:val="left" w:pos="709" w:leader="none"/>
        </w:tabs>
        <w:bidi w:val="0"/>
        <w:ind w:hanging="283" w:left="709"/>
        <w:jc w:val="left"/>
        <w:rPr/>
      </w:pPr>
      <w:r>
        <w:rPr/>
        <w:t xml:space="preserve">internal-only context </w:t>
      </w:r>
      <w:r>
        <w:rPr>
          <w:rStyle w:val="SourceText"/>
        </w:rPr>
        <w:t>MAY</w:t>
      </w:r>
      <w:r>
        <w:rPr/>
        <w:t xml:space="preserve"> be redacted in public-facing receipts while remaining available to authorized auditors </w:t>
      </w:r>
    </w:p>
    <w:p>
      <w:pPr>
        <w:pStyle w:val="BodyText"/>
        <w:bidi w:val="0"/>
        <w:jc w:val="left"/>
        <w:rPr/>
      </w:pPr>
      <w:r>
        <w:rPr/>
        <w:t xml:space="preserve">Implementations handling identifiable human context </w:t>
      </w:r>
      <w:r>
        <w:rPr>
          <w:rStyle w:val="SourceText"/>
        </w:rPr>
        <w:t>SHOULD</w:t>
      </w:r>
      <w:r>
        <w:rPr/>
        <w:t xml:space="preserve"> align receipt and </w:t>
      </w:r>
      <w:r>
        <w:rPr>
          <w:rStyle w:val="SourceText"/>
        </w:rPr>
        <w:t>AIDoc</w:t>
      </w:r>
      <w:r>
        <w:rPr/>
        <w:t xml:space="preserve"> retention with applicable privacy controls such as </w:t>
      </w:r>
      <w:r>
        <w:rPr>
          <w:rStyle w:val="SourceText"/>
        </w:rPr>
        <w:t>GDPR</w:t>
      </w:r>
      <w:r>
        <w:rPr/>
        <w:t xml:space="preserve"> and </w:t>
      </w:r>
      <w:r>
        <w:rPr>
          <w:rStyle w:val="SourceText"/>
        </w:rPr>
        <w:t>ISO/IEC 27701</w:t>
      </w:r>
      <w:r>
        <w:rPr/>
        <w:t>, including minimization, retention, and accountability expectations.</w:t>
      </w:r>
    </w:p>
    <w:p>
      <w:pPr>
        <w:pStyle w:val="Heading3"/>
        <w:bidi w:val="0"/>
        <w:jc w:val="left"/>
        <w:rPr/>
      </w:pPr>
      <w:r>
        <w:rPr/>
        <w:t>10.6 Enterprise Identity-Boundary Projection</w:t>
      </w:r>
    </w:p>
    <w:p>
      <w:pPr>
        <w:pStyle w:val="BodyText"/>
        <w:bidi w:val="0"/>
        <w:jc w:val="left"/>
        <w:rPr/>
      </w:pPr>
      <w:r>
        <w:rPr/>
        <w:t xml:space="preserve">An implementation that coordinates more than one agent </w:t>
      </w:r>
      <w:r>
        <w:rPr>
          <w:rStyle w:val="SourceText"/>
        </w:rPr>
        <w:t>MUST</w:t>
      </w:r>
      <w:r>
        <w:rPr/>
        <w:t xml:space="preserve"> maintain a protected agent participation graph for every consequential interaction. The graph </w:t>
      </w:r>
      <w:r>
        <w:rPr>
          <w:rStyle w:val="SourceText"/>
        </w:rPr>
        <w:t>MUST</w:t>
      </w:r>
      <w:r>
        <w:rPr/>
        <w:t xml:space="preserve"> include each agent subject that materially originated, delegated, authorized, approved, transformed, executed, or published part of the interaction. Deterministic tools and transport processes are not agent hops unless they are themselves governed as agent subjects.</w:t>
      </w:r>
    </w:p>
    <w:p>
      <w:pPr>
        <w:pStyle w:val="BodyText"/>
        <w:bidi w:val="0"/>
        <w:jc w:val="left"/>
        <w:rPr/>
      </w:pPr>
      <w:r>
        <w:rPr/>
        <w:t>The graph:</w:t>
      </w:r>
    </w:p>
    <w:p>
      <w:pPr>
        <w:pStyle w:val="BodyText"/>
        <w:numPr>
          <w:ilvl w:val="0"/>
          <w:numId w:val="68"/>
        </w:numPr>
        <w:tabs>
          <w:tab w:val="clear" w:pos="1134"/>
          <w:tab w:val="left" w:pos="709" w:leader="none"/>
        </w:tabs>
        <w:bidi w:val="0"/>
        <w:spacing w:before="0" w:after="0"/>
        <w:ind w:hanging="283" w:left="709"/>
        <w:jc w:val="left"/>
        <w:rPr/>
      </w:pPr>
      <w:r>
        <w:rPr>
          <w:rStyle w:val="SourceText"/>
        </w:rPr>
        <w:t>MUST</w:t>
      </w:r>
      <w:r>
        <w:rPr/>
        <w:t xml:space="preserve"> identify every participating agent by its canonical GAID in the source administrative boundary </w:t>
      </w:r>
    </w:p>
    <w:p>
      <w:pPr>
        <w:pStyle w:val="BodyText"/>
        <w:numPr>
          <w:ilvl w:val="0"/>
          <w:numId w:val="68"/>
        </w:numPr>
        <w:tabs>
          <w:tab w:val="clear" w:pos="1134"/>
          <w:tab w:val="left" w:pos="709" w:leader="none"/>
        </w:tabs>
        <w:bidi w:val="0"/>
        <w:spacing w:before="0" w:after="0"/>
        <w:ind w:hanging="283" w:left="709"/>
        <w:jc w:val="left"/>
        <w:rPr/>
      </w:pPr>
      <w:r>
        <w:rPr>
          <w:rStyle w:val="SourceText"/>
        </w:rPr>
        <w:t>MUST</w:t>
      </w:r>
      <w:r>
        <w:rPr/>
        <w:t xml:space="preserve"> record delegation and contribution edges using stable hop identifiers and parent references so fan-out and fan-in are not falsely flattened into a linear chain </w:t>
      </w:r>
    </w:p>
    <w:p>
      <w:pPr>
        <w:pStyle w:val="BodyText"/>
        <w:numPr>
          <w:ilvl w:val="0"/>
          <w:numId w:val="68"/>
        </w:numPr>
        <w:tabs>
          <w:tab w:val="clear" w:pos="1134"/>
          <w:tab w:val="left" w:pos="709" w:leader="none"/>
        </w:tabs>
        <w:bidi w:val="0"/>
        <w:spacing w:before="0" w:after="0"/>
        <w:ind w:hanging="283" w:left="709"/>
        <w:jc w:val="left"/>
        <w:rPr/>
      </w:pPr>
      <w:r>
        <w:rPr>
          <w:rStyle w:val="SourceText"/>
        </w:rPr>
        <w:t>MUST</w:t>
      </w:r>
      <w:r>
        <w:rPr/>
        <w:t xml:space="preserve"> bind each material hop to its receipt, trace context, role, time, and originating installation/device evidence where applicable </w:t>
      </w:r>
    </w:p>
    <w:p>
      <w:pPr>
        <w:pStyle w:val="BodyText"/>
        <w:numPr>
          <w:ilvl w:val="0"/>
          <w:numId w:val="68"/>
        </w:numPr>
        <w:tabs>
          <w:tab w:val="clear" w:pos="1134"/>
          <w:tab w:val="left" w:pos="709" w:leader="none"/>
        </w:tabs>
        <w:bidi w:val="0"/>
        <w:spacing w:before="0" w:after="0"/>
        <w:ind w:hanging="283" w:left="709"/>
        <w:jc w:val="left"/>
        <w:rPr/>
      </w:pPr>
      <w:r>
        <w:rPr>
          <w:rStyle w:val="SourceText"/>
        </w:rPr>
        <w:t>MUST</w:t>
      </w:r>
      <w:r>
        <w:rPr/>
        <w:t xml:space="preserve"> be retained in an access-controlled evidence store under the applicable retention policy </w:t>
      </w:r>
    </w:p>
    <w:p>
      <w:pPr>
        <w:pStyle w:val="BodyText"/>
        <w:numPr>
          <w:ilvl w:val="0"/>
          <w:numId w:val="68"/>
        </w:numPr>
        <w:tabs>
          <w:tab w:val="clear" w:pos="1134"/>
          <w:tab w:val="left" w:pos="709" w:leader="none"/>
        </w:tabs>
        <w:bidi w:val="0"/>
        <w:ind w:hanging="283" w:left="709"/>
        <w:jc w:val="left"/>
        <w:rPr/>
      </w:pPr>
      <w:r>
        <w:rPr>
          <w:rStyle w:val="SourceText"/>
        </w:rPr>
        <w:t>MUST NOT</w:t>
      </w:r>
      <w:r>
        <w:rPr/>
        <w:t xml:space="preserve"> be copied wholesale across an organization boundary merely to satisfy traceability </w:t>
      </w:r>
    </w:p>
    <w:p>
      <w:pPr>
        <w:pStyle w:val="BodyText"/>
        <w:bidi w:val="0"/>
        <w:jc w:val="left"/>
        <w:rPr/>
      </w:pPr>
      <w:r>
        <w:rPr/>
        <w:t xml:space="preserve">For an external boundary, the implementation </w:t>
      </w:r>
      <w:r>
        <w:rPr>
          <w:rStyle w:val="SourceText"/>
        </w:rPr>
        <w:t>MUST</w:t>
      </w:r>
      <w:r>
        <w:rPr/>
        <w:t xml:space="preserve"> derive a separate boundary projection from the governing disclosure contract. That projection:</w:t>
      </w:r>
    </w:p>
    <w:p>
      <w:pPr>
        <w:pStyle w:val="BodyText"/>
        <w:numPr>
          <w:ilvl w:val="0"/>
          <w:numId w:val="69"/>
        </w:numPr>
        <w:tabs>
          <w:tab w:val="clear" w:pos="1134"/>
          <w:tab w:val="left" w:pos="709" w:leader="none"/>
        </w:tabs>
        <w:bidi w:val="0"/>
        <w:spacing w:before="0" w:after="0"/>
        <w:ind w:hanging="283" w:left="709"/>
        <w:jc w:val="left"/>
        <w:rPr/>
      </w:pPr>
      <w:r>
        <w:rPr>
          <w:rStyle w:val="SourceText"/>
        </w:rPr>
        <w:t>MUST</w:t>
      </w:r>
      <w:r>
        <w:rPr/>
        <w:t xml:space="preserve"> expose only approved </w:t>
      </w:r>
      <w:r>
        <w:rPr>
          <w:rStyle w:val="SourceText"/>
        </w:rPr>
        <w:t>GAID-Public</w:t>
      </w:r>
      <w:r>
        <w:rPr/>
        <w:t xml:space="preserve"> aliases for externally accountable participants </w:t>
      </w:r>
    </w:p>
    <w:p>
      <w:pPr>
        <w:pStyle w:val="BodyText"/>
        <w:numPr>
          <w:ilvl w:val="0"/>
          <w:numId w:val="69"/>
        </w:numPr>
        <w:tabs>
          <w:tab w:val="clear" w:pos="1134"/>
          <w:tab w:val="left" w:pos="709" w:leader="none"/>
        </w:tabs>
        <w:bidi w:val="0"/>
        <w:spacing w:before="0" w:after="0"/>
        <w:ind w:hanging="283" w:left="709"/>
        <w:jc w:val="left"/>
        <w:rPr/>
      </w:pPr>
      <w:r>
        <w:rPr>
          <w:rStyle w:val="SourceText"/>
        </w:rPr>
        <w:t>MUST</w:t>
      </w:r>
      <w:r>
        <w:rPr/>
        <w:t xml:space="preserve"> state whether participation was minimized </w:t>
      </w:r>
    </w:p>
    <w:p>
      <w:pPr>
        <w:pStyle w:val="BodyText"/>
        <w:numPr>
          <w:ilvl w:val="0"/>
          <w:numId w:val="69"/>
        </w:numPr>
        <w:tabs>
          <w:tab w:val="clear" w:pos="1134"/>
          <w:tab w:val="left" w:pos="709" w:leader="none"/>
        </w:tabs>
        <w:bidi w:val="0"/>
        <w:spacing w:before="0" w:after="0"/>
        <w:ind w:hanging="283" w:left="709"/>
        <w:jc w:val="left"/>
        <w:rPr/>
      </w:pPr>
      <w:r>
        <w:rPr>
          <w:rStyle w:val="SourceText"/>
        </w:rPr>
        <w:t>MUST</w:t>
      </w:r>
      <w:r>
        <w:rPr/>
        <w:t xml:space="preserve"> include a participation commitment when one or more material hops are withheld </w:t>
      </w:r>
    </w:p>
    <w:p>
      <w:pPr>
        <w:pStyle w:val="BodyText"/>
        <w:numPr>
          <w:ilvl w:val="0"/>
          <w:numId w:val="69"/>
        </w:numPr>
        <w:tabs>
          <w:tab w:val="clear" w:pos="1134"/>
          <w:tab w:val="left" w:pos="709" w:leader="none"/>
        </w:tabs>
        <w:bidi w:val="0"/>
        <w:spacing w:before="0" w:after="0"/>
        <w:ind w:hanging="283" w:left="709"/>
        <w:jc w:val="left"/>
        <w:rPr/>
      </w:pPr>
      <w:r>
        <w:rPr>
          <w:rStyle w:val="SourceText"/>
        </w:rPr>
        <w:t>MUST NOT</w:t>
      </w:r>
      <w:r>
        <w:rPr/>
        <w:t xml:space="preserve"> disclose the number, names, private GAIDs, topology, installation identifiers, device identifiers, prompts, or internal roles of withheld participants unless the disclosure contract expressly allows that field </w:t>
      </w:r>
    </w:p>
    <w:p>
      <w:pPr>
        <w:pStyle w:val="BodyText"/>
        <w:numPr>
          <w:ilvl w:val="0"/>
          <w:numId w:val="69"/>
        </w:numPr>
        <w:tabs>
          <w:tab w:val="clear" w:pos="1134"/>
          <w:tab w:val="left" w:pos="709" w:leader="none"/>
        </w:tabs>
        <w:bidi w:val="0"/>
        <w:ind w:hanging="283" w:left="709"/>
        <w:jc w:val="left"/>
        <w:rPr/>
      </w:pPr>
      <w:r>
        <w:rPr>
          <w:rStyle w:val="SourceText"/>
        </w:rPr>
        <w:t>MUST</w:t>
      </w:r>
      <w:r>
        <w:rPr/>
        <w:t xml:space="preserve"> be integrity-bound to the task, message, artifact, decision, or receipt it accompanies </w:t>
      </w:r>
    </w:p>
    <w:p>
      <w:pPr>
        <w:pStyle w:val="BodyText"/>
        <w:bidi w:val="0"/>
        <w:jc w:val="left"/>
        <w:rPr/>
      </w:pPr>
      <w:r>
        <w:rPr/>
        <w:t xml:space="preserve">The participation commitment </w:t>
      </w:r>
      <w:r>
        <w:rPr>
          <w:rStyle w:val="SourceText"/>
        </w:rPr>
        <w:t>MUST</w:t>
      </w:r>
      <w:r>
        <w:rPr/>
        <w:t xml:space="preserve"> be computed over a deterministic canonical representation of the complete protected graph, the interaction context, and the applied projection-policy version. It </w:t>
      </w:r>
      <w:r>
        <w:rPr>
          <w:rStyle w:val="SourceText"/>
        </w:rPr>
        <w:t>MUST</w:t>
      </w:r>
      <w:r>
        <w:rPr/>
        <w:t xml:space="preserve"> use a high-entropy private nonce or an equivalently hiding construction so predictable private identifiers cannot be tested by dictionary attack. The commitment and projection </w:t>
      </w:r>
      <w:r>
        <w:rPr>
          <w:rStyle w:val="SourceText"/>
        </w:rPr>
        <w:t>MUST</w:t>
      </w:r>
      <w:r>
        <w:rPr/>
        <w:t xml:space="preserve"> be signed by the boundary's approved signing authority. The nonce and protected graph </w:t>
      </w:r>
      <w:r>
        <w:rPr>
          <w:rStyle w:val="SourceText"/>
        </w:rPr>
        <w:t>MUST</w:t>
      </w:r>
      <w:r>
        <w:rPr/>
        <w:t xml:space="preserve"> remain available for an authorized audit opening, subject to retention and legal policy.</w:t>
      </w:r>
    </w:p>
    <w:p>
      <w:pPr>
        <w:pStyle w:val="BodyText"/>
        <w:bidi w:val="0"/>
        <w:jc w:val="left"/>
        <w:rPr/>
      </w:pPr>
      <w:r>
        <w:rPr/>
        <w:t>This dual-view model is analogous to an enterprise network boundary: the organization preserves its complete internal route and accountability record, while the external party sees only the governed public identities and a verifiable commitment that the protected record was not silently rewritten. It does not create a new agent-identity scheme; public and private GAIDs remain governed aliases of the same canonical subject.</w:t>
      </w:r>
    </w:p>
    <w:p>
      <w:pPr>
        <w:pStyle w:val="BodyText"/>
        <w:bidi w:val="0"/>
        <w:jc w:val="left"/>
        <w:rPr/>
      </w:pPr>
      <w:r>
        <w:rPr/>
        <w:drawing>
          <wp:inline distT="0" distB="0" distL="0" distR="0">
            <wp:extent cx="22402800" cy="9629775"/>
            <wp:effectExtent l="0" t="0" r="0" b="0"/>
            <wp:docPr id="5" name="Image5" descr="Receipt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Receipt chain"/>
                    <pic:cNvPicPr>
                      <a:picLocks noChangeAspect="1" noChangeArrowheads="1"/>
                    </pic:cNvPicPr>
                  </pic:nvPicPr>
                  <pic:blipFill>
                    <a:blip r:embed="rId68"/>
                    <a:stretch>
                      <a:fillRect/>
                    </a:stretch>
                  </pic:blipFill>
                  <pic:spPr bwMode="auto">
                    <a:xfrm>
                      <a:off x="0" y="0"/>
                      <a:ext cx="22402800" cy="9629775"/>
                    </a:xfrm>
                    <a:prstGeom prst="rect">
                      <a:avLst/>
                    </a:prstGeom>
                    <a:noFill/>
                  </pic:spPr>
                </pic:pic>
              </a:graphicData>
            </a:graphic>
          </wp:inline>
        </w:drawing>
      </w:r>
    </w:p>
    <w:p>
      <w:pPr>
        <w:pStyle w:val="BodyText"/>
        <w:bidi w:val="0"/>
        <w:jc w:val="left"/>
        <w:rPr/>
      </w:pPr>
      <w:r>
        <w:rPr>
          <w:rStyle w:val="Emphasis"/>
        </w:rPr>
        <w:t xml:space="preserve">Figure 5. </w:t>
      </w:r>
      <w:r>
        <w:rPr>
          <w:rStyle w:val="SourceText"/>
        </w:rPr>
        <w:t>GAID</w:t>
      </w:r>
      <w:r>
        <w:rPr>
          <w:rStyle w:val="Emphasis"/>
        </w:rPr>
        <w:t xml:space="preserve"> receipts preserve the chain from principal to agent to delegate to resulting evidence.</w:t>
      </w:r>
    </w:p>
    <w:p>
      <w:pPr>
        <w:pStyle w:val="Heading2"/>
        <w:bidi w:val="0"/>
        <w:jc w:val="left"/>
        <w:rPr/>
      </w:pPr>
      <w:r>
        <w:rPr/>
        <w:t>11. Protocol Profiles and Interoperability</w:t>
      </w:r>
    </w:p>
    <w:p>
      <w:pPr>
        <w:pStyle w:val="Heading3"/>
        <w:bidi w:val="0"/>
        <w:jc w:val="left"/>
        <w:rPr/>
      </w:pPr>
      <w:r>
        <w:rPr/>
        <w:t>11.1 General Rule</w:t>
      </w:r>
    </w:p>
    <w:p>
      <w:pPr>
        <w:pStyle w:val="BodyText"/>
        <w:bidi w:val="0"/>
        <w:jc w:val="left"/>
        <w:rPr/>
      </w:pPr>
      <w:r>
        <w:rPr>
          <w:rStyle w:val="SourceText"/>
        </w:rPr>
        <w:t>GAID</w:t>
      </w:r>
      <w:r>
        <w:rPr/>
        <w:t xml:space="preserve"> does not replace agent protocols. It provides the identity and governance layer that those protocols can carry.</w:t>
      </w:r>
    </w:p>
    <w:p>
      <w:pPr>
        <w:pStyle w:val="BodyText"/>
        <w:bidi w:val="0"/>
        <w:jc w:val="left"/>
        <w:rPr/>
      </w:pPr>
      <w:r>
        <w:rPr/>
        <w:t xml:space="preserve">An implementation </w:t>
      </w:r>
      <w:r>
        <w:rPr>
          <w:rStyle w:val="SourceText"/>
        </w:rPr>
        <w:t>SHOULD</w:t>
      </w:r>
      <w:r>
        <w:rPr/>
        <w:t xml:space="preserve"> declare how </w:t>
      </w:r>
      <w:r>
        <w:rPr>
          <w:rStyle w:val="SourceText"/>
        </w:rPr>
        <w:t>GAID</w:t>
      </w:r>
      <w:r>
        <w:rPr/>
        <w:t xml:space="preserve"> claims are surfaced across the protocols it uses.</w:t>
      </w:r>
    </w:p>
    <w:p>
      <w:pPr>
        <w:pStyle w:val="Heading3"/>
        <w:bidi w:val="0"/>
        <w:jc w:val="left"/>
        <w:rPr/>
      </w:pPr>
      <w:r>
        <w:rPr/>
        <w:t>11.2 Core, Extensions, and Profile Pattern</w:t>
      </w:r>
    </w:p>
    <w:p>
      <w:pPr>
        <w:pStyle w:val="BodyText"/>
        <w:bidi w:val="0"/>
        <w:jc w:val="left"/>
        <w:rPr/>
      </w:pPr>
      <w:r>
        <w:rPr>
          <w:rStyle w:val="SourceText"/>
        </w:rPr>
        <w:t>GAID</w:t>
      </w:r>
      <w:r>
        <w:rPr/>
        <w:t xml:space="preserve"> implementations </w:t>
      </w:r>
      <w:r>
        <w:rPr>
          <w:rStyle w:val="SourceText"/>
        </w:rPr>
        <w:t>SHOULD</w:t>
      </w:r>
      <w:r>
        <w:rPr/>
        <w:t xml:space="preserve"> follow a stable-core and protocol-profile pattern rather than redefining each transport or directory protocol around AI agents.</w:t>
      </w:r>
    </w:p>
    <w:p>
      <w:pPr>
        <w:pStyle w:val="BodyText"/>
        <w:bidi w:val="0"/>
        <w:jc w:val="left"/>
        <w:rPr/>
      </w:pPr>
      <w:r>
        <w:rPr/>
        <w:t>In that pattern:</w:t>
      </w:r>
    </w:p>
    <w:p>
      <w:pPr>
        <w:pStyle w:val="BodyText"/>
        <w:numPr>
          <w:ilvl w:val="0"/>
          <w:numId w:val="70"/>
        </w:numPr>
        <w:tabs>
          <w:tab w:val="clear" w:pos="1134"/>
          <w:tab w:val="left" w:pos="709" w:leader="none"/>
        </w:tabs>
        <w:bidi w:val="0"/>
        <w:spacing w:before="0" w:after="0"/>
        <w:ind w:hanging="283" w:left="709"/>
        <w:jc w:val="left"/>
        <w:rPr/>
      </w:pPr>
      <w:r>
        <w:rPr/>
        <w:t xml:space="preserve">the </w:t>
      </w:r>
      <w:r>
        <w:rPr>
          <w:rStyle w:val="Strong"/>
        </w:rPr>
        <w:t xml:space="preserve">core </w:t>
      </w:r>
      <w:r>
        <w:rPr>
          <w:rStyle w:val="SourceText"/>
        </w:rPr>
        <w:t>GAID</w:t>
      </w:r>
      <w:r>
        <w:rPr>
          <w:rStyle w:val="Strong"/>
        </w:rPr>
        <w:t xml:space="preserve"> model</w:t>
      </w:r>
      <w:r>
        <w:rPr/>
        <w:t xml:space="preserve"> defines the enduring subject, issuer lineage, </w:t>
      </w:r>
      <w:r>
        <w:rPr>
          <w:rStyle w:val="SourceText"/>
        </w:rPr>
        <w:t>AIDoc</w:t>
      </w:r>
      <w:r>
        <w:rPr/>
        <w:t xml:space="preserve">, badge semantics, receipt semantics, and continuity rules </w:t>
      </w:r>
    </w:p>
    <w:p>
      <w:pPr>
        <w:pStyle w:val="BodyText"/>
        <w:numPr>
          <w:ilvl w:val="0"/>
          <w:numId w:val="70"/>
        </w:numPr>
        <w:tabs>
          <w:tab w:val="clear" w:pos="1134"/>
          <w:tab w:val="left" w:pos="709" w:leader="none"/>
        </w:tabs>
        <w:bidi w:val="0"/>
        <w:spacing w:before="0" w:after="0"/>
        <w:ind w:hanging="283" w:left="709"/>
        <w:jc w:val="left"/>
        <w:rPr/>
      </w:pPr>
      <w:r>
        <w:rPr>
          <w:rStyle w:val="Strong"/>
        </w:rPr>
        <w:t>extension vocabularies</w:t>
      </w:r>
      <w:r>
        <w:rPr/>
        <w:t xml:space="preserve"> define additional sector, enterprise, or protocol-specific fields without altering core subject semantics </w:t>
      </w:r>
    </w:p>
    <w:p>
      <w:pPr>
        <w:pStyle w:val="BodyText"/>
        <w:numPr>
          <w:ilvl w:val="0"/>
          <w:numId w:val="70"/>
        </w:numPr>
        <w:tabs>
          <w:tab w:val="clear" w:pos="1134"/>
          <w:tab w:val="left" w:pos="709" w:leader="none"/>
        </w:tabs>
        <w:bidi w:val="0"/>
        <w:ind w:hanging="283" w:left="709"/>
        <w:jc w:val="left"/>
        <w:rPr/>
      </w:pPr>
      <w:r>
        <w:rPr>
          <w:rStyle w:val="Strong"/>
        </w:rPr>
        <w:t>protocol profiles</w:t>
      </w:r>
      <w:r>
        <w:rPr/>
        <w:t xml:space="preserve"> define how core and extension claims are projected into a particular carrier such as </w:t>
      </w:r>
      <w:r>
        <w:rPr>
          <w:rStyle w:val="SourceText"/>
        </w:rPr>
        <w:t>LDAP</w:t>
      </w:r>
      <w:r>
        <w:rPr/>
        <w:t xml:space="preserve">, </w:t>
      </w:r>
      <w:r>
        <w:rPr>
          <w:rStyle w:val="SourceText"/>
        </w:rPr>
        <w:t>SCIM</w:t>
      </w:r>
      <w:r>
        <w:rPr/>
        <w:t xml:space="preserve">, </w:t>
      </w:r>
      <w:r>
        <w:rPr>
          <w:rStyle w:val="SourceText"/>
        </w:rPr>
        <w:t>MCP</w:t>
      </w:r>
      <w:r>
        <w:rPr/>
        <w:t xml:space="preserve">, </w:t>
      </w:r>
      <w:r>
        <w:rPr>
          <w:rStyle w:val="SourceText"/>
        </w:rPr>
        <w:t>A2A</w:t>
      </w:r>
      <w:r>
        <w:rPr/>
        <w:t xml:space="preserve">, or HTTP APIs </w:t>
      </w:r>
    </w:p>
    <w:p>
      <w:pPr>
        <w:pStyle w:val="BodyText"/>
        <w:bidi w:val="0"/>
        <w:jc w:val="left"/>
        <w:rPr/>
      </w:pPr>
      <w:r>
        <w:rPr/>
        <w:t xml:space="preserve">An implementation </w:t>
      </w:r>
      <w:r>
        <w:rPr>
          <w:rStyle w:val="SourceText"/>
        </w:rPr>
        <w:t>MUST NOT</w:t>
      </w:r>
      <w:r>
        <w:rPr/>
        <w:t xml:space="preserve"> create protocol-specific subject identifiers that fragment the canonical </w:t>
      </w:r>
      <w:r>
        <w:rPr>
          <w:rStyle w:val="SourceText"/>
        </w:rPr>
        <w:t>GAID</w:t>
      </w:r>
      <w:r>
        <w:rPr/>
        <w:t xml:space="preserve"> identity merely because the carrier format differs.</w:t>
      </w:r>
    </w:p>
    <w:p>
      <w:pPr>
        <w:pStyle w:val="Heading3"/>
        <w:bidi w:val="0"/>
        <w:jc w:val="left"/>
        <w:rPr/>
      </w:pPr>
      <w:r>
        <w:rPr/>
        <w:t>11.3 Extension Registry Model</w:t>
      </w:r>
    </w:p>
    <w:p>
      <w:pPr>
        <w:pStyle w:val="BodyText"/>
        <w:bidi w:val="0"/>
        <w:jc w:val="left"/>
        <w:rPr/>
      </w:pPr>
      <w:r>
        <w:rPr/>
        <w:t xml:space="preserve">A conforming ecosystem </w:t>
      </w:r>
      <w:r>
        <w:rPr>
          <w:rStyle w:val="SourceText"/>
        </w:rPr>
        <w:t>SHOULD</w:t>
      </w:r>
      <w:r>
        <w:rPr/>
        <w:t xml:space="preserve"> maintain a registry or equivalent catalog for extension vocabularies and protocol profiles.</w:t>
      </w:r>
    </w:p>
    <w:p>
      <w:pPr>
        <w:pStyle w:val="BodyText"/>
        <w:bidi w:val="0"/>
        <w:jc w:val="left"/>
        <w:rPr/>
      </w:pPr>
      <w:r>
        <w:rPr/>
        <w:t xml:space="preserve">That registry </w:t>
      </w:r>
      <w:r>
        <w:rPr>
          <w:rStyle w:val="SourceText"/>
        </w:rPr>
        <w:t>SHOULD</w:t>
      </w:r>
      <w:r>
        <w:rPr/>
        <w:t xml:space="preserve"> identify at least:</w:t>
      </w:r>
    </w:p>
    <w:p>
      <w:pPr>
        <w:pStyle w:val="BodyText"/>
        <w:numPr>
          <w:ilvl w:val="0"/>
          <w:numId w:val="71"/>
        </w:numPr>
        <w:tabs>
          <w:tab w:val="clear" w:pos="1134"/>
          <w:tab w:val="left" w:pos="709" w:leader="none"/>
        </w:tabs>
        <w:bidi w:val="0"/>
        <w:spacing w:before="0" w:after="0"/>
        <w:ind w:hanging="283" w:left="709"/>
        <w:jc w:val="left"/>
        <w:rPr/>
      </w:pPr>
      <w:r>
        <w:rPr/>
        <w:t xml:space="preserve">the extension or profile name </w:t>
      </w:r>
    </w:p>
    <w:p>
      <w:pPr>
        <w:pStyle w:val="BodyText"/>
        <w:numPr>
          <w:ilvl w:val="0"/>
          <w:numId w:val="71"/>
        </w:numPr>
        <w:tabs>
          <w:tab w:val="clear" w:pos="1134"/>
          <w:tab w:val="left" w:pos="709" w:leader="none"/>
        </w:tabs>
        <w:bidi w:val="0"/>
        <w:spacing w:before="0" w:after="0"/>
        <w:ind w:hanging="283" w:left="709"/>
        <w:jc w:val="left"/>
        <w:rPr/>
      </w:pPr>
      <w:r>
        <w:rPr/>
        <w:t xml:space="preserve">the fields or claims it defines </w:t>
      </w:r>
    </w:p>
    <w:p>
      <w:pPr>
        <w:pStyle w:val="BodyText"/>
        <w:numPr>
          <w:ilvl w:val="0"/>
          <w:numId w:val="71"/>
        </w:numPr>
        <w:tabs>
          <w:tab w:val="clear" w:pos="1134"/>
          <w:tab w:val="left" w:pos="709" w:leader="none"/>
        </w:tabs>
        <w:bidi w:val="0"/>
        <w:spacing w:before="0" w:after="0"/>
        <w:ind w:hanging="283" w:left="709"/>
        <w:jc w:val="left"/>
        <w:rPr/>
      </w:pPr>
      <w:r>
        <w:rPr/>
        <w:t xml:space="preserve">whether those fields are normative, optional, or implementation-specific </w:t>
      </w:r>
    </w:p>
    <w:p>
      <w:pPr>
        <w:pStyle w:val="BodyText"/>
        <w:numPr>
          <w:ilvl w:val="0"/>
          <w:numId w:val="71"/>
        </w:numPr>
        <w:tabs>
          <w:tab w:val="clear" w:pos="1134"/>
          <w:tab w:val="left" w:pos="709" w:leader="none"/>
        </w:tabs>
        <w:bidi w:val="0"/>
        <w:spacing w:before="0" w:after="0"/>
        <w:ind w:hanging="283" w:left="709"/>
        <w:jc w:val="left"/>
        <w:rPr/>
      </w:pPr>
      <w:r>
        <w:rPr/>
        <w:t xml:space="preserve">what underlying </w:t>
      </w:r>
      <w:r>
        <w:rPr>
          <w:rStyle w:val="SourceText"/>
        </w:rPr>
        <w:t>GAID</w:t>
      </w:r>
      <w:r>
        <w:rPr/>
        <w:t xml:space="preserve"> core concepts each field maps to </w:t>
      </w:r>
    </w:p>
    <w:p>
      <w:pPr>
        <w:pStyle w:val="BodyText"/>
        <w:numPr>
          <w:ilvl w:val="0"/>
          <w:numId w:val="71"/>
        </w:numPr>
        <w:tabs>
          <w:tab w:val="clear" w:pos="1134"/>
          <w:tab w:val="left" w:pos="709" w:leader="none"/>
        </w:tabs>
        <w:bidi w:val="0"/>
        <w:ind w:hanging="283" w:left="709"/>
        <w:jc w:val="left"/>
        <w:rPr/>
      </w:pPr>
      <w:r>
        <w:rPr/>
        <w:t xml:space="preserve">any privacy or disclosure constraints on publication </w:t>
      </w:r>
    </w:p>
    <w:p>
      <w:pPr>
        <w:pStyle w:val="BodyText"/>
        <w:bidi w:val="0"/>
        <w:jc w:val="left"/>
        <w:rPr/>
      </w:pPr>
      <w:r>
        <w:rPr/>
        <w:t>This allows enterprise and public ecosystems to add agent-specific semantics without destabilizing the core identity model.</w:t>
      </w:r>
    </w:p>
    <w:p>
      <w:pPr>
        <w:pStyle w:val="Heading3"/>
        <w:bidi w:val="0"/>
        <w:jc w:val="left"/>
        <w:rPr/>
      </w:pPr>
      <w:r>
        <w:rPr/>
        <w:t>11.4 MCP Profile</w:t>
      </w:r>
    </w:p>
    <w:p>
      <w:pPr>
        <w:pStyle w:val="BodyText"/>
        <w:bidi w:val="0"/>
        <w:jc w:val="left"/>
        <w:rPr/>
      </w:pPr>
      <w:r>
        <w:rPr/>
        <w:t xml:space="preserve">For </w:t>
      </w:r>
      <w:r>
        <w:rPr>
          <w:rStyle w:val="SourceText"/>
        </w:rPr>
        <w:t>MCP</w:t>
      </w:r>
      <w:r>
        <w:rPr/>
        <w:t xml:space="preserve"> environments:</w:t>
      </w:r>
    </w:p>
    <w:p>
      <w:pPr>
        <w:pStyle w:val="BodyText"/>
        <w:numPr>
          <w:ilvl w:val="0"/>
          <w:numId w:val="72"/>
        </w:numPr>
        <w:tabs>
          <w:tab w:val="clear" w:pos="1134"/>
          <w:tab w:val="left" w:pos="709" w:leader="none"/>
        </w:tabs>
        <w:bidi w:val="0"/>
        <w:spacing w:before="0" w:after="0"/>
        <w:ind w:hanging="283" w:left="709"/>
        <w:jc w:val="left"/>
        <w:rPr/>
      </w:pPr>
      <w:r>
        <w:rPr/>
        <w:t xml:space="preserve">the agent </w:t>
      </w:r>
      <w:r>
        <w:rPr>
          <w:rStyle w:val="SourceText"/>
        </w:rPr>
        <w:t>SHOULD</w:t>
      </w:r>
      <w:r>
        <w:rPr/>
        <w:t xml:space="preserve"> expose its </w:t>
      </w:r>
      <w:r>
        <w:rPr>
          <w:rStyle w:val="SourceText"/>
        </w:rPr>
        <w:t>GAID</w:t>
      </w:r>
      <w:r>
        <w:rPr/>
        <w:t xml:space="preserve"> and relevant </w:t>
      </w:r>
      <w:r>
        <w:rPr>
          <w:rStyle w:val="SourceText"/>
        </w:rPr>
        <w:t>AIDoc</w:t>
      </w:r>
      <w:r>
        <w:rPr/>
        <w:t xml:space="preserve"> reference in connection or server metadata where possible </w:t>
      </w:r>
    </w:p>
    <w:p>
      <w:pPr>
        <w:pStyle w:val="BodyText"/>
        <w:numPr>
          <w:ilvl w:val="0"/>
          <w:numId w:val="72"/>
        </w:numPr>
        <w:tabs>
          <w:tab w:val="clear" w:pos="1134"/>
          <w:tab w:val="left" w:pos="709" w:leader="none"/>
        </w:tabs>
        <w:bidi w:val="0"/>
        <w:spacing w:before="0" w:after="0"/>
        <w:ind w:hanging="283" w:left="709"/>
        <w:jc w:val="left"/>
        <w:rPr/>
      </w:pPr>
      <w:r>
        <w:rPr/>
        <w:t xml:space="preserve">declared tools in the </w:t>
      </w:r>
      <w:r>
        <w:rPr>
          <w:rStyle w:val="SourceText"/>
        </w:rPr>
        <w:t>AIDoc</w:t>
      </w:r>
      <w:r>
        <w:rPr/>
        <w:t xml:space="preserve"> </w:t>
      </w:r>
      <w:r>
        <w:rPr>
          <w:rStyle w:val="SourceText"/>
        </w:rPr>
        <w:t>SHOULD</w:t>
      </w:r>
      <w:r>
        <w:rPr/>
        <w:t xml:space="preserve"> align with the actual exposed tool surface </w:t>
      </w:r>
    </w:p>
    <w:p>
      <w:pPr>
        <w:pStyle w:val="BodyText"/>
        <w:numPr>
          <w:ilvl w:val="0"/>
          <w:numId w:val="72"/>
        </w:numPr>
        <w:tabs>
          <w:tab w:val="clear" w:pos="1134"/>
          <w:tab w:val="left" w:pos="709" w:leader="none"/>
        </w:tabs>
        <w:bidi w:val="0"/>
        <w:spacing w:before="0" w:after="0"/>
        <w:ind w:hanging="283" w:left="709"/>
        <w:jc w:val="left"/>
        <w:rPr/>
      </w:pPr>
      <w:r>
        <w:rPr/>
        <w:t xml:space="preserve">remote tool invocation receipts </w:t>
      </w:r>
      <w:r>
        <w:rPr>
          <w:rStyle w:val="SourceText"/>
        </w:rPr>
        <w:t>SHOULD</w:t>
      </w:r>
      <w:r>
        <w:rPr/>
        <w:t xml:space="preserve"> preserve acting agent identity and trace context </w:t>
      </w:r>
    </w:p>
    <w:p>
      <w:pPr>
        <w:pStyle w:val="BodyText"/>
        <w:numPr>
          <w:ilvl w:val="0"/>
          <w:numId w:val="72"/>
        </w:numPr>
        <w:tabs>
          <w:tab w:val="clear" w:pos="1134"/>
          <w:tab w:val="left" w:pos="709" w:leader="none"/>
        </w:tabs>
        <w:bidi w:val="0"/>
        <w:ind w:hanging="283" w:left="709"/>
        <w:jc w:val="left"/>
        <w:rPr/>
      </w:pPr>
      <w:r>
        <w:rPr/>
        <w:t xml:space="preserve">protected </w:t>
      </w:r>
      <w:r>
        <w:rPr>
          <w:rStyle w:val="SourceText"/>
        </w:rPr>
        <w:t>MCP</w:t>
      </w:r>
      <w:r>
        <w:rPr/>
        <w:t xml:space="preserve"> deployments </w:t>
      </w:r>
      <w:r>
        <w:rPr>
          <w:rStyle w:val="SourceText"/>
        </w:rPr>
        <w:t>SHOULD</w:t>
      </w:r>
      <w:r>
        <w:rPr/>
        <w:t xml:space="preserve"> align their verifier and authorization metadata with the </w:t>
      </w:r>
      <w:r>
        <w:rPr>
          <w:rStyle w:val="SourceText"/>
        </w:rPr>
        <w:t>MCP</w:t>
      </w:r>
      <w:r>
        <w:rPr/>
        <w:t xml:space="preserve"> authorization profile and </w:t>
      </w:r>
      <w:r>
        <w:rPr>
          <w:rStyle w:val="SourceText"/>
        </w:rPr>
        <w:t>RFC 9728</w:t>
      </w:r>
      <w:r>
        <w:rPr/>
        <w:t xml:space="preserve"> discovery model rather than inventing parallel discovery semantics </w:t>
      </w:r>
    </w:p>
    <w:p>
      <w:pPr>
        <w:pStyle w:val="Heading3"/>
        <w:bidi w:val="0"/>
        <w:jc w:val="left"/>
        <w:rPr/>
      </w:pPr>
      <w:r>
        <w:rPr/>
        <w:t>11.5 A2A Profile</w:t>
      </w:r>
    </w:p>
    <w:p>
      <w:pPr>
        <w:pStyle w:val="BodyText"/>
        <w:bidi w:val="0"/>
        <w:jc w:val="left"/>
        <w:rPr/>
      </w:pPr>
      <w:r>
        <w:rPr/>
        <w:t xml:space="preserve">For </w:t>
      </w:r>
      <w:r>
        <w:rPr>
          <w:rStyle w:val="SourceText"/>
        </w:rPr>
        <w:t>A2A</w:t>
      </w:r>
      <w:r>
        <w:rPr/>
        <w:t xml:space="preserve"> environments:</w:t>
      </w:r>
    </w:p>
    <w:p>
      <w:pPr>
        <w:pStyle w:val="BodyText"/>
        <w:numPr>
          <w:ilvl w:val="0"/>
          <w:numId w:val="73"/>
        </w:numPr>
        <w:tabs>
          <w:tab w:val="clear" w:pos="1134"/>
          <w:tab w:val="left" w:pos="709" w:leader="none"/>
        </w:tabs>
        <w:bidi w:val="0"/>
        <w:spacing w:before="0" w:after="0"/>
        <w:ind w:hanging="283" w:left="709"/>
        <w:jc w:val="left"/>
        <w:rPr/>
      </w:pPr>
      <w:r>
        <w:rPr/>
        <w:t xml:space="preserve">the </w:t>
      </w:r>
      <w:r>
        <w:rPr>
          <w:rStyle w:val="SourceText"/>
        </w:rPr>
        <w:t>Agent Card</w:t>
      </w:r>
      <w:r>
        <w:rPr/>
        <w:t xml:space="preserve"> </w:t>
      </w:r>
      <w:r>
        <w:rPr>
          <w:rStyle w:val="SourceText"/>
        </w:rPr>
        <w:t>SHOULD</w:t>
      </w:r>
      <w:r>
        <w:rPr/>
        <w:t xml:space="preserve"> carry or reference the agent's </w:t>
      </w:r>
      <w:r>
        <w:rPr>
          <w:rStyle w:val="SourceText"/>
        </w:rPr>
        <w:t>GAID</w:t>
      </w:r>
      <w:r>
        <w:rPr/>
        <w:t xml:space="preserve"> </w:t>
      </w:r>
    </w:p>
    <w:p>
      <w:pPr>
        <w:pStyle w:val="BodyText"/>
        <w:numPr>
          <w:ilvl w:val="0"/>
          <w:numId w:val="73"/>
        </w:numPr>
        <w:tabs>
          <w:tab w:val="clear" w:pos="1134"/>
          <w:tab w:val="left" w:pos="709" w:leader="none"/>
        </w:tabs>
        <w:bidi w:val="0"/>
        <w:spacing w:before="0" w:after="0"/>
        <w:ind w:hanging="283" w:left="709"/>
        <w:jc w:val="left"/>
        <w:rPr/>
      </w:pPr>
      <w:r>
        <w:rPr/>
        <w:t xml:space="preserve">the published skills and capabilities </w:t>
      </w:r>
      <w:r>
        <w:rPr>
          <w:rStyle w:val="SourceText"/>
        </w:rPr>
        <w:t>SHOULD</w:t>
      </w:r>
      <w:r>
        <w:rPr/>
        <w:t xml:space="preserve"> align with </w:t>
      </w:r>
      <w:r>
        <w:rPr>
          <w:rStyle w:val="SourceText"/>
        </w:rPr>
        <w:t>AIDoc</w:t>
      </w:r>
      <w:r>
        <w:rPr/>
        <w:t xml:space="preserve"> claims </w:t>
      </w:r>
    </w:p>
    <w:p>
      <w:pPr>
        <w:pStyle w:val="BodyText"/>
        <w:numPr>
          <w:ilvl w:val="0"/>
          <w:numId w:val="73"/>
        </w:numPr>
        <w:tabs>
          <w:tab w:val="clear" w:pos="1134"/>
          <w:tab w:val="left" w:pos="709" w:leader="none"/>
        </w:tabs>
        <w:bidi w:val="0"/>
        <w:spacing w:before="0" w:after="0"/>
        <w:ind w:hanging="283" w:left="709"/>
        <w:jc w:val="left"/>
        <w:rPr/>
      </w:pPr>
      <w:r>
        <w:rPr/>
        <w:t xml:space="preserve">task and artifact events </w:t>
      </w:r>
      <w:r>
        <w:rPr>
          <w:rStyle w:val="SourceText"/>
        </w:rPr>
        <w:t>SHOULD</w:t>
      </w:r>
      <w:r>
        <w:rPr/>
        <w:t xml:space="preserve"> preserve chain-of-custody identifiers </w:t>
      </w:r>
    </w:p>
    <w:p>
      <w:pPr>
        <w:pStyle w:val="BodyText"/>
        <w:numPr>
          <w:ilvl w:val="0"/>
          <w:numId w:val="73"/>
        </w:numPr>
        <w:tabs>
          <w:tab w:val="clear" w:pos="1134"/>
          <w:tab w:val="left" w:pos="709" w:leader="none"/>
        </w:tabs>
        <w:bidi w:val="0"/>
        <w:spacing w:before="0" w:after="0"/>
        <w:ind w:hanging="283" w:left="709"/>
        <w:jc w:val="left"/>
        <w:rPr/>
      </w:pPr>
      <w:r>
        <w:rPr/>
        <w:t xml:space="preserve">public agents </w:t>
      </w:r>
      <w:r>
        <w:rPr>
          <w:rStyle w:val="SourceText"/>
        </w:rPr>
        <w:t>SHOULD</w:t>
      </w:r>
      <w:r>
        <w:rPr/>
        <w:t xml:space="preserve"> bind </w:t>
      </w:r>
      <w:r>
        <w:rPr>
          <w:rStyle w:val="SourceText"/>
        </w:rPr>
        <w:t>Agent Card</w:t>
      </w:r>
      <w:r>
        <w:rPr/>
        <w:t xml:space="preserve"> metadata to issuer-controlled verification material </w:t>
      </w:r>
    </w:p>
    <w:p>
      <w:pPr>
        <w:pStyle w:val="BodyText"/>
        <w:numPr>
          <w:ilvl w:val="0"/>
          <w:numId w:val="73"/>
        </w:numPr>
        <w:tabs>
          <w:tab w:val="clear" w:pos="1134"/>
          <w:tab w:val="left" w:pos="709" w:leader="none"/>
        </w:tabs>
        <w:bidi w:val="0"/>
        <w:spacing w:before="0" w:after="0"/>
        <w:ind w:hanging="283" w:left="709"/>
        <w:jc w:val="left"/>
        <w:rPr/>
      </w:pPr>
      <w:r>
        <w:rPr/>
        <w:t xml:space="preserve">where </w:t>
      </w:r>
      <w:r>
        <w:rPr>
          <w:rStyle w:val="SourceText"/>
        </w:rPr>
        <w:t>A2A</w:t>
      </w:r>
      <w:r>
        <w:rPr/>
        <w:t xml:space="preserve"> agent cards advertise </w:t>
      </w:r>
      <w:r>
        <w:rPr>
          <w:rStyle w:val="SourceText"/>
        </w:rPr>
        <w:t>securitySchemes</w:t>
      </w:r>
      <w:r>
        <w:rPr/>
        <w:t xml:space="preserve"> or authenticated extended cards, the published </w:t>
      </w:r>
      <w:r>
        <w:rPr>
          <w:rStyle w:val="SourceText"/>
        </w:rPr>
        <w:t>GAID</w:t>
      </w:r>
      <w:r>
        <w:rPr/>
        <w:t xml:space="preserve"> projection </w:t>
      </w:r>
      <w:r>
        <w:rPr>
          <w:rStyle w:val="SourceText"/>
        </w:rPr>
        <w:t>SHOULD</w:t>
      </w:r>
      <w:r>
        <w:rPr/>
        <w:t xml:space="preserve"> remain consistent across both public and authenticated card variants </w:t>
      </w:r>
    </w:p>
    <w:p>
      <w:pPr>
        <w:pStyle w:val="BodyText"/>
        <w:numPr>
          <w:ilvl w:val="0"/>
          <w:numId w:val="73"/>
        </w:numPr>
        <w:tabs>
          <w:tab w:val="clear" w:pos="1134"/>
          <w:tab w:val="left" w:pos="709" w:leader="none"/>
        </w:tabs>
        <w:bidi w:val="0"/>
        <w:spacing w:before="0" w:after="0"/>
        <w:ind w:hanging="283" w:left="709"/>
        <w:jc w:val="left"/>
        <w:rPr/>
      </w:pPr>
      <w:r>
        <w:rPr/>
        <w:t xml:space="preserve">implementations </w:t>
      </w:r>
      <w:r>
        <w:rPr>
          <w:rStyle w:val="SourceText"/>
        </w:rPr>
        <w:t>SHOULD</w:t>
      </w:r>
      <w:r>
        <w:rPr/>
        <w:t xml:space="preserve"> carry the GAID identity and participation projection as a versioned, strongly typed A2A extension rather than ungoverned metadata keys </w:t>
      </w:r>
    </w:p>
    <w:p>
      <w:pPr>
        <w:pStyle w:val="BodyText"/>
        <w:numPr>
          <w:ilvl w:val="0"/>
          <w:numId w:val="73"/>
        </w:numPr>
        <w:tabs>
          <w:tab w:val="clear" w:pos="1134"/>
          <w:tab w:val="left" w:pos="709" w:leader="none"/>
        </w:tabs>
        <w:bidi w:val="0"/>
        <w:spacing w:before="0" w:after="0"/>
        <w:ind w:hanging="283" w:left="709"/>
        <w:jc w:val="left"/>
        <w:rPr/>
      </w:pPr>
      <w:r>
        <w:rPr/>
        <w:t xml:space="preserve">a cross-organization A2A response </w:t>
      </w:r>
      <w:r>
        <w:rPr>
          <w:rStyle w:val="SourceText"/>
        </w:rPr>
        <w:t>MUST</w:t>
      </w:r>
      <w:r>
        <w:rPr/>
        <w:t xml:space="preserve"> apply Sections 6.5 and 10.6 before serialization; A2A transport authentication or tenant routing is not authority to disclose private GAIDs </w:t>
      </w:r>
    </w:p>
    <w:p>
      <w:pPr>
        <w:pStyle w:val="BodyText"/>
        <w:numPr>
          <w:ilvl w:val="0"/>
          <w:numId w:val="73"/>
        </w:numPr>
        <w:tabs>
          <w:tab w:val="clear" w:pos="1134"/>
          <w:tab w:val="left" w:pos="709" w:leader="none"/>
        </w:tabs>
        <w:bidi w:val="0"/>
        <w:ind w:hanging="283" w:left="709"/>
        <w:jc w:val="left"/>
        <w:rPr/>
      </w:pPr>
      <w:r>
        <w:rPr/>
        <w:t xml:space="preserve">an A2A Agent Card intended for an external organization </w:t>
      </w:r>
      <w:r>
        <w:rPr>
          <w:rStyle w:val="SourceText"/>
        </w:rPr>
        <w:t>MUST NOT</w:t>
      </w:r>
      <w:r>
        <w:rPr/>
        <w:t xml:space="preserve"> enumerate private agents or internal topology and </w:t>
      </w:r>
      <w:r>
        <w:rPr>
          <w:rStyle w:val="SourceText"/>
        </w:rPr>
        <w:t>MUST</w:t>
      </w:r>
      <w:r>
        <w:rPr/>
        <w:t xml:space="preserve"> use the public GAID view for every disclosed agent subject </w:t>
      </w:r>
    </w:p>
    <w:p>
      <w:pPr>
        <w:pStyle w:val="Heading3"/>
        <w:bidi w:val="0"/>
        <w:jc w:val="left"/>
        <w:rPr/>
      </w:pPr>
      <w:r>
        <w:rPr/>
        <w:t>11.6 HTTP and API Profile</w:t>
      </w:r>
    </w:p>
    <w:p>
      <w:pPr>
        <w:pStyle w:val="BodyText"/>
        <w:bidi w:val="0"/>
        <w:jc w:val="left"/>
        <w:rPr/>
      </w:pPr>
      <w:r>
        <w:rPr/>
        <w:t>For direct HTTP APIs:</w:t>
      </w:r>
    </w:p>
    <w:p>
      <w:pPr>
        <w:pStyle w:val="BodyText"/>
        <w:numPr>
          <w:ilvl w:val="0"/>
          <w:numId w:val="74"/>
        </w:numPr>
        <w:tabs>
          <w:tab w:val="clear" w:pos="1134"/>
          <w:tab w:val="left" w:pos="709" w:leader="none"/>
        </w:tabs>
        <w:bidi w:val="0"/>
        <w:spacing w:before="0" w:after="0"/>
        <w:ind w:hanging="283" w:left="709"/>
        <w:jc w:val="left"/>
        <w:rPr/>
      </w:pPr>
      <w:r>
        <w:rPr>
          <w:rStyle w:val="SourceText"/>
        </w:rPr>
        <w:t>GAID</w:t>
      </w:r>
      <w:r>
        <w:rPr/>
        <w:t xml:space="preserve"> </w:t>
      </w:r>
      <w:r>
        <w:rPr>
          <w:rStyle w:val="SourceText"/>
        </w:rPr>
        <w:t>SHOULD</w:t>
      </w:r>
      <w:r>
        <w:rPr/>
        <w:t xml:space="preserve"> be carried in request or message metadata </w:t>
      </w:r>
    </w:p>
    <w:p>
      <w:pPr>
        <w:pStyle w:val="BodyText"/>
        <w:numPr>
          <w:ilvl w:val="0"/>
          <w:numId w:val="74"/>
        </w:numPr>
        <w:tabs>
          <w:tab w:val="clear" w:pos="1134"/>
          <w:tab w:val="left" w:pos="709" w:leader="none"/>
        </w:tabs>
        <w:bidi w:val="0"/>
        <w:spacing w:before="0" w:after="0"/>
        <w:ind w:hanging="283" w:left="709"/>
        <w:jc w:val="left"/>
        <w:rPr/>
      </w:pPr>
      <w:r>
        <w:rPr/>
        <w:t xml:space="preserve">signatures </w:t>
      </w:r>
      <w:r>
        <w:rPr>
          <w:rStyle w:val="SourceText"/>
        </w:rPr>
        <w:t>SHOULD</w:t>
      </w:r>
      <w:r>
        <w:rPr/>
        <w:t xml:space="preserve"> bind the identity claim to the request </w:t>
      </w:r>
    </w:p>
    <w:p>
      <w:pPr>
        <w:pStyle w:val="BodyText"/>
        <w:numPr>
          <w:ilvl w:val="0"/>
          <w:numId w:val="74"/>
        </w:numPr>
        <w:tabs>
          <w:tab w:val="clear" w:pos="1134"/>
          <w:tab w:val="left" w:pos="709" w:leader="none"/>
        </w:tabs>
        <w:bidi w:val="0"/>
        <w:ind w:hanging="283" w:left="709"/>
        <w:jc w:val="left"/>
        <w:rPr/>
      </w:pPr>
      <w:r>
        <w:rPr/>
        <w:t xml:space="preserve">trace context </w:t>
      </w:r>
      <w:r>
        <w:rPr>
          <w:rStyle w:val="SourceText"/>
        </w:rPr>
        <w:t>SHOULD</w:t>
      </w:r>
      <w:r>
        <w:rPr/>
        <w:t xml:space="preserve"> follow </w:t>
      </w:r>
      <w:r>
        <w:rPr>
          <w:rStyle w:val="SourceText"/>
        </w:rPr>
        <w:t>W3C Trace Context</w:t>
      </w:r>
      <w:r>
        <w:rPr/>
        <w:t xml:space="preserve"> </w:t>
      </w:r>
    </w:p>
    <w:p>
      <w:pPr>
        <w:pStyle w:val="Heading3"/>
        <w:bidi w:val="0"/>
        <w:jc w:val="left"/>
        <w:rPr/>
      </w:pPr>
      <w:r>
        <w:rPr/>
        <w:t>11.7 LDAP Profile</w:t>
      </w:r>
    </w:p>
    <w:p>
      <w:pPr>
        <w:pStyle w:val="BodyText"/>
        <w:bidi w:val="0"/>
        <w:jc w:val="left"/>
        <w:rPr/>
      </w:pPr>
      <w:r>
        <w:rPr>
          <w:rStyle w:val="SourceText"/>
        </w:rPr>
        <w:t>GAID</w:t>
      </w:r>
      <w:r>
        <w:rPr/>
        <w:t xml:space="preserve"> does not replace </w:t>
      </w:r>
      <w:r>
        <w:rPr>
          <w:rStyle w:val="SourceText"/>
        </w:rPr>
        <w:t>LDAP</w:t>
      </w:r>
      <w:r>
        <w:rPr/>
        <w:t xml:space="preserve">, but a conforming implementation </w:t>
      </w:r>
      <w:r>
        <w:rPr>
          <w:rStyle w:val="SourceText"/>
        </w:rPr>
        <w:t>SHOULD</w:t>
      </w:r>
      <w:r>
        <w:rPr/>
        <w:t xml:space="preserve"> define how agent identity is projected into enterprise directory systems.</w:t>
      </w:r>
    </w:p>
    <w:p>
      <w:pPr>
        <w:pStyle w:val="BodyText"/>
        <w:bidi w:val="0"/>
        <w:jc w:val="left"/>
        <w:rPr/>
      </w:pPr>
      <w:r>
        <w:rPr/>
        <w:t xml:space="preserve">For </w:t>
      </w:r>
      <w:r>
        <w:rPr>
          <w:rStyle w:val="SourceText"/>
        </w:rPr>
        <w:t>LDAP</w:t>
      </w:r>
      <w:r>
        <w:rPr/>
        <w:t xml:space="preserve"> projections:</w:t>
      </w:r>
    </w:p>
    <w:p>
      <w:pPr>
        <w:pStyle w:val="BodyText"/>
        <w:numPr>
          <w:ilvl w:val="0"/>
          <w:numId w:val="75"/>
        </w:numPr>
        <w:tabs>
          <w:tab w:val="clear" w:pos="1134"/>
          <w:tab w:val="left" w:pos="709" w:leader="none"/>
        </w:tabs>
        <w:bidi w:val="0"/>
        <w:spacing w:before="0" w:after="0"/>
        <w:ind w:hanging="283" w:left="709"/>
        <w:jc w:val="left"/>
        <w:rPr/>
      </w:pPr>
      <w:r>
        <w:rPr/>
        <w:t xml:space="preserve">the enduring </w:t>
      </w:r>
      <w:r>
        <w:rPr>
          <w:rStyle w:val="SourceText"/>
        </w:rPr>
        <w:t>GAID</w:t>
      </w:r>
      <w:r>
        <w:rPr/>
        <w:t xml:space="preserve"> </w:t>
      </w:r>
      <w:r>
        <w:rPr>
          <w:rStyle w:val="SourceText"/>
        </w:rPr>
        <w:t>SHOULD</w:t>
      </w:r>
      <w:r>
        <w:rPr/>
        <w:t xml:space="preserve"> be published as a stable agent identity attribute </w:t>
      </w:r>
    </w:p>
    <w:p>
      <w:pPr>
        <w:pStyle w:val="BodyText"/>
        <w:numPr>
          <w:ilvl w:val="0"/>
          <w:numId w:val="75"/>
        </w:numPr>
        <w:tabs>
          <w:tab w:val="clear" w:pos="1134"/>
          <w:tab w:val="left" w:pos="709" w:leader="none"/>
        </w:tabs>
        <w:bidi w:val="0"/>
        <w:spacing w:before="0" w:after="0"/>
        <w:ind w:hanging="283" w:left="709"/>
        <w:jc w:val="left"/>
        <w:rPr/>
      </w:pPr>
      <w:r>
        <w:rPr/>
        <w:t xml:space="preserve">standard structural directory classes </w:t>
      </w:r>
      <w:r>
        <w:rPr>
          <w:rStyle w:val="SourceText"/>
        </w:rPr>
        <w:t>SHOULD</w:t>
      </w:r>
      <w:r>
        <w:rPr/>
        <w:t xml:space="preserve"> be preserved for broad client compatibility </w:t>
      </w:r>
    </w:p>
    <w:p>
      <w:pPr>
        <w:pStyle w:val="BodyText"/>
        <w:numPr>
          <w:ilvl w:val="0"/>
          <w:numId w:val="75"/>
        </w:numPr>
        <w:tabs>
          <w:tab w:val="clear" w:pos="1134"/>
          <w:tab w:val="left" w:pos="709" w:leader="none"/>
        </w:tabs>
        <w:bidi w:val="0"/>
        <w:spacing w:before="0" w:after="0"/>
        <w:ind w:hanging="283" w:left="709"/>
        <w:jc w:val="left"/>
        <w:rPr/>
      </w:pPr>
      <w:r>
        <w:rPr/>
        <w:t xml:space="preserve">agent-specific semantics </w:t>
      </w:r>
      <w:r>
        <w:rPr>
          <w:rStyle w:val="SourceText"/>
        </w:rPr>
        <w:t>SHOULD</w:t>
      </w:r>
      <w:r>
        <w:rPr/>
        <w:t xml:space="preserve"> be added through auxiliary object classes or clearly namespaced attributes rather than replacing standard directory structure </w:t>
      </w:r>
    </w:p>
    <w:p>
      <w:pPr>
        <w:pStyle w:val="BodyText"/>
        <w:numPr>
          <w:ilvl w:val="0"/>
          <w:numId w:val="75"/>
        </w:numPr>
        <w:tabs>
          <w:tab w:val="clear" w:pos="1134"/>
          <w:tab w:val="left" w:pos="709" w:leader="none"/>
        </w:tabs>
        <w:bidi w:val="0"/>
        <w:spacing w:before="0" w:after="0"/>
        <w:ind w:hanging="283" w:left="709"/>
        <w:jc w:val="left"/>
        <w:rPr/>
      </w:pPr>
      <w:r>
        <w:rPr/>
        <w:t xml:space="preserve">agent entries </w:t>
      </w:r>
      <w:r>
        <w:rPr>
          <w:rStyle w:val="SourceText"/>
        </w:rPr>
        <w:t>SHOULD</w:t>
      </w:r>
      <w:r>
        <w:rPr/>
        <w:t xml:space="preserve"> remain distinguishable from human and service principals by explicit type attributes and not only by directory placement </w:t>
      </w:r>
    </w:p>
    <w:p>
      <w:pPr>
        <w:pStyle w:val="BodyText"/>
        <w:numPr>
          <w:ilvl w:val="0"/>
          <w:numId w:val="75"/>
        </w:numPr>
        <w:tabs>
          <w:tab w:val="clear" w:pos="1134"/>
          <w:tab w:val="left" w:pos="709" w:leader="none"/>
        </w:tabs>
        <w:bidi w:val="0"/>
        <w:spacing w:before="0" w:after="0"/>
        <w:ind w:hanging="283" w:left="709"/>
        <w:jc w:val="left"/>
        <w:rPr/>
      </w:pPr>
      <w:r>
        <w:rPr/>
        <w:t xml:space="preserve">profile fingerprint and validation state </w:t>
      </w:r>
      <w:r>
        <w:rPr>
          <w:rStyle w:val="SourceText"/>
        </w:rPr>
        <w:t>SHOULD</w:t>
      </w:r>
      <w:r>
        <w:rPr/>
        <w:t xml:space="preserve"> be publishable to authorized relying parties </w:t>
      </w:r>
    </w:p>
    <w:p>
      <w:pPr>
        <w:pStyle w:val="BodyText"/>
        <w:numPr>
          <w:ilvl w:val="0"/>
          <w:numId w:val="75"/>
        </w:numPr>
        <w:tabs>
          <w:tab w:val="clear" w:pos="1134"/>
          <w:tab w:val="left" w:pos="709" w:leader="none"/>
        </w:tabs>
        <w:bidi w:val="0"/>
        <w:spacing w:before="0" w:after="0"/>
        <w:ind w:hanging="283" w:left="709"/>
        <w:jc w:val="left"/>
        <w:rPr/>
      </w:pPr>
      <w:r>
        <w:rPr/>
        <w:t xml:space="preserve">issuer, exposure state, and verifier references </w:t>
      </w:r>
      <w:r>
        <w:rPr>
          <w:rStyle w:val="SourceText"/>
        </w:rPr>
        <w:t>MAY</w:t>
      </w:r>
      <w:r>
        <w:rPr/>
        <w:t xml:space="preserve"> be projected where downstream trust decisions require them </w:t>
      </w:r>
    </w:p>
    <w:p>
      <w:pPr>
        <w:pStyle w:val="BodyText"/>
        <w:numPr>
          <w:ilvl w:val="0"/>
          <w:numId w:val="75"/>
        </w:numPr>
        <w:tabs>
          <w:tab w:val="clear" w:pos="1134"/>
          <w:tab w:val="left" w:pos="709" w:leader="none"/>
        </w:tabs>
        <w:bidi w:val="0"/>
        <w:ind w:hanging="283" w:left="709"/>
        <w:jc w:val="left"/>
        <w:rPr/>
      </w:pPr>
      <w:r>
        <w:rPr/>
        <w:t xml:space="preserve">group membership </w:t>
      </w:r>
      <w:r>
        <w:rPr>
          <w:rStyle w:val="SourceText"/>
        </w:rPr>
        <w:t>MAY</w:t>
      </w:r>
      <w:r>
        <w:rPr/>
        <w:t xml:space="preserve"> be used as the primary coarse authority surface for downstream compatibility </w:t>
      </w:r>
    </w:p>
    <w:p>
      <w:pPr>
        <w:pStyle w:val="BodyText"/>
        <w:bidi w:val="0"/>
        <w:jc w:val="left"/>
        <w:rPr/>
      </w:pPr>
      <w:r>
        <w:rPr/>
        <w:t xml:space="preserve">An implementation </w:t>
      </w:r>
      <w:r>
        <w:rPr>
          <w:rStyle w:val="SourceText"/>
        </w:rPr>
        <w:t>MUST NOT</w:t>
      </w:r>
      <w:r>
        <w:rPr/>
        <w:t xml:space="preserve"> rely only on directory placement or display labels to distinguish agent identity type.</w:t>
      </w:r>
    </w:p>
    <w:p>
      <w:pPr>
        <w:pStyle w:val="Heading3"/>
        <w:bidi w:val="0"/>
        <w:jc w:val="left"/>
        <w:rPr/>
      </w:pPr>
      <w:r>
        <w:rPr/>
        <w:t>11.8 SCIM Profile</w:t>
      </w:r>
    </w:p>
    <w:p>
      <w:pPr>
        <w:pStyle w:val="BodyText"/>
        <w:bidi w:val="0"/>
        <w:jc w:val="left"/>
        <w:rPr/>
      </w:pPr>
      <w:r>
        <w:rPr>
          <w:rStyle w:val="SourceText"/>
        </w:rPr>
        <w:t>GAID</w:t>
      </w:r>
      <w:r>
        <w:rPr/>
        <w:t xml:space="preserve"> likewise does not replace </w:t>
      </w:r>
      <w:r>
        <w:rPr>
          <w:rStyle w:val="SourceText"/>
        </w:rPr>
        <w:t>SCIM</w:t>
      </w:r>
      <w:r>
        <w:rPr/>
        <w:t xml:space="preserve">, but a conforming implementation </w:t>
      </w:r>
      <w:r>
        <w:rPr>
          <w:rStyle w:val="SourceText"/>
        </w:rPr>
        <w:t>SHOULD</w:t>
      </w:r>
      <w:r>
        <w:rPr/>
        <w:t xml:space="preserve"> define how the enduring agent subject and its selected metadata are projected through lifecycle provisioning interfaces.</w:t>
      </w:r>
    </w:p>
    <w:p>
      <w:pPr>
        <w:pStyle w:val="BodyText"/>
        <w:bidi w:val="0"/>
        <w:jc w:val="left"/>
        <w:rPr/>
      </w:pPr>
      <w:r>
        <w:rPr/>
        <w:t xml:space="preserve">For </w:t>
      </w:r>
      <w:r>
        <w:rPr>
          <w:rStyle w:val="SourceText"/>
        </w:rPr>
        <w:t>SCIM</w:t>
      </w:r>
      <w:r>
        <w:rPr/>
        <w:t xml:space="preserve"> projections:</w:t>
      </w:r>
    </w:p>
    <w:p>
      <w:pPr>
        <w:pStyle w:val="BodyText"/>
        <w:numPr>
          <w:ilvl w:val="0"/>
          <w:numId w:val="76"/>
        </w:numPr>
        <w:tabs>
          <w:tab w:val="clear" w:pos="1134"/>
          <w:tab w:val="left" w:pos="709" w:leader="none"/>
        </w:tabs>
        <w:bidi w:val="0"/>
        <w:spacing w:before="0" w:after="0"/>
        <w:ind w:hanging="283" w:left="709"/>
        <w:jc w:val="left"/>
        <w:rPr/>
      </w:pPr>
      <w:r>
        <w:rPr/>
        <w:t xml:space="preserve">the canonical </w:t>
      </w:r>
      <w:r>
        <w:rPr>
          <w:rStyle w:val="SourceText"/>
        </w:rPr>
        <w:t>GAID</w:t>
      </w:r>
      <w:r>
        <w:rPr/>
        <w:t xml:space="preserve"> </w:t>
      </w:r>
      <w:r>
        <w:rPr>
          <w:rStyle w:val="SourceText"/>
        </w:rPr>
        <w:t>SHOULD</w:t>
      </w:r>
      <w:r>
        <w:rPr/>
        <w:t xml:space="preserve"> remain the stable subject reference </w:t>
      </w:r>
    </w:p>
    <w:p>
      <w:pPr>
        <w:pStyle w:val="BodyText"/>
        <w:numPr>
          <w:ilvl w:val="0"/>
          <w:numId w:val="76"/>
        </w:numPr>
        <w:tabs>
          <w:tab w:val="clear" w:pos="1134"/>
          <w:tab w:val="left" w:pos="709" w:leader="none"/>
        </w:tabs>
        <w:bidi w:val="0"/>
        <w:spacing w:before="0" w:after="0"/>
        <w:ind w:hanging="283" w:left="709"/>
        <w:jc w:val="left"/>
        <w:rPr/>
      </w:pPr>
      <w:r>
        <w:rPr/>
        <w:t xml:space="preserve">mutable operating-state references, validation state, and selected badge data </w:t>
      </w:r>
      <w:r>
        <w:rPr>
          <w:rStyle w:val="SourceText"/>
        </w:rPr>
        <w:t>MAY</w:t>
      </w:r>
      <w:r>
        <w:rPr/>
        <w:t xml:space="preserve"> be mapped through appropriate profile extensions </w:t>
      </w:r>
    </w:p>
    <w:p>
      <w:pPr>
        <w:pStyle w:val="BodyText"/>
        <w:numPr>
          <w:ilvl w:val="0"/>
          <w:numId w:val="76"/>
        </w:numPr>
        <w:tabs>
          <w:tab w:val="clear" w:pos="1134"/>
          <w:tab w:val="left" w:pos="709" w:leader="none"/>
        </w:tabs>
        <w:bidi w:val="0"/>
        <w:spacing w:before="0" w:after="0"/>
        <w:ind w:hanging="283" w:left="709"/>
        <w:jc w:val="left"/>
        <w:rPr/>
      </w:pPr>
      <w:r>
        <w:rPr/>
        <w:t xml:space="preserve">lifecycle updates </w:t>
      </w:r>
      <w:r>
        <w:rPr>
          <w:rStyle w:val="SourceText"/>
        </w:rPr>
        <w:t>SHOULD</w:t>
      </w:r>
      <w:r>
        <w:rPr/>
        <w:t xml:space="preserve"> revise the operating-state projection without minting a new enduring subject identifier </w:t>
      </w:r>
    </w:p>
    <w:p>
      <w:pPr>
        <w:pStyle w:val="BodyText"/>
        <w:numPr>
          <w:ilvl w:val="0"/>
          <w:numId w:val="76"/>
        </w:numPr>
        <w:tabs>
          <w:tab w:val="clear" w:pos="1134"/>
          <w:tab w:val="left" w:pos="709" w:leader="none"/>
        </w:tabs>
        <w:bidi w:val="0"/>
        <w:ind w:hanging="283" w:left="709"/>
        <w:jc w:val="left"/>
        <w:rPr/>
      </w:pPr>
      <w:r>
        <w:rPr/>
        <w:t xml:space="preserve">lifecycle operations such as activation, suspension, and deprovisioning </w:t>
      </w:r>
      <w:r>
        <w:rPr>
          <w:rStyle w:val="SourceText"/>
        </w:rPr>
        <w:t>SHOULD</w:t>
      </w:r>
      <w:r>
        <w:rPr/>
        <w:t xml:space="preserve"> preserve </w:t>
      </w:r>
      <w:r>
        <w:rPr>
          <w:rStyle w:val="SourceText"/>
        </w:rPr>
        <w:t>GAID</w:t>
      </w:r>
      <w:r>
        <w:rPr/>
        <w:t xml:space="preserve"> continuity rather than fragmenting subject identity </w:t>
      </w:r>
    </w:p>
    <w:p>
      <w:pPr>
        <w:pStyle w:val="Heading3"/>
        <w:bidi w:val="0"/>
        <w:jc w:val="left"/>
        <w:rPr/>
      </w:pPr>
      <w:r>
        <w:rPr/>
        <w:t>11.9 Async and Queue Profile</w:t>
      </w:r>
    </w:p>
    <w:p>
      <w:pPr>
        <w:pStyle w:val="BodyText"/>
        <w:bidi w:val="0"/>
        <w:jc w:val="left"/>
        <w:rPr/>
      </w:pPr>
      <w:r>
        <w:rPr/>
        <w:t>For queue-based or event-driven systems:</w:t>
      </w:r>
    </w:p>
    <w:p>
      <w:pPr>
        <w:pStyle w:val="BodyText"/>
        <w:numPr>
          <w:ilvl w:val="0"/>
          <w:numId w:val="77"/>
        </w:numPr>
        <w:tabs>
          <w:tab w:val="clear" w:pos="1134"/>
          <w:tab w:val="left" w:pos="709" w:leader="none"/>
        </w:tabs>
        <w:bidi w:val="0"/>
        <w:spacing w:before="0" w:after="0"/>
        <w:ind w:hanging="283" w:left="709"/>
        <w:jc w:val="left"/>
        <w:rPr/>
      </w:pPr>
      <w:r>
        <w:rPr/>
        <w:t xml:space="preserve">the acting </w:t>
      </w:r>
      <w:r>
        <w:rPr>
          <w:rStyle w:val="SourceText"/>
        </w:rPr>
        <w:t>GAID</w:t>
      </w:r>
      <w:r>
        <w:rPr/>
        <w:t xml:space="preserve"> </w:t>
      </w:r>
      <w:r>
        <w:rPr>
          <w:rStyle w:val="SourceText"/>
        </w:rPr>
        <w:t>MUST</w:t>
      </w:r>
      <w:r>
        <w:rPr/>
        <w:t xml:space="preserve"> be preserved in message metadata </w:t>
      </w:r>
    </w:p>
    <w:p>
      <w:pPr>
        <w:pStyle w:val="BodyText"/>
        <w:numPr>
          <w:ilvl w:val="0"/>
          <w:numId w:val="77"/>
        </w:numPr>
        <w:tabs>
          <w:tab w:val="clear" w:pos="1134"/>
          <w:tab w:val="left" w:pos="709" w:leader="none"/>
        </w:tabs>
        <w:bidi w:val="0"/>
        <w:spacing w:before="0" w:after="0"/>
        <w:ind w:hanging="283" w:left="709"/>
        <w:jc w:val="left"/>
        <w:rPr/>
      </w:pPr>
      <w:r>
        <w:rPr/>
        <w:t xml:space="preserve">the receipt relationship </w:t>
      </w:r>
      <w:r>
        <w:rPr>
          <w:rStyle w:val="SourceText"/>
        </w:rPr>
        <w:t>MUST</w:t>
      </w:r>
      <w:r>
        <w:rPr/>
        <w:t xml:space="preserve"> survive retries and delayed processing </w:t>
      </w:r>
    </w:p>
    <w:p>
      <w:pPr>
        <w:pStyle w:val="BodyText"/>
        <w:numPr>
          <w:ilvl w:val="0"/>
          <w:numId w:val="77"/>
        </w:numPr>
        <w:tabs>
          <w:tab w:val="clear" w:pos="1134"/>
          <w:tab w:val="left" w:pos="709" w:leader="none"/>
        </w:tabs>
        <w:bidi w:val="0"/>
        <w:ind w:hanging="283" w:left="709"/>
        <w:jc w:val="left"/>
        <w:rPr/>
      </w:pPr>
      <w:r>
        <w:rPr/>
        <w:t xml:space="preserve">replay or duplicate-delivery handling </w:t>
      </w:r>
      <w:r>
        <w:rPr>
          <w:rStyle w:val="SourceText"/>
        </w:rPr>
        <w:t>SHOULD</w:t>
      </w:r>
      <w:r>
        <w:rPr/>
        <w:t xml:space="preserve"> be explicit </w:t>
      </w:r>
    </w:p>
    <w:p>
      <w:pPr>
        <w:pStyle w:val="Heading3"/>
        <w:bidi w:val="0"/>
        <w:jc w:val="left"/>
        <w:rPr/>
      </w:pPr>
      <w:r>
        <w:rPr/>
        <w:t>11.10 UI and Human Interaction Profile</w:t>
      </w:r>
    </w:p>
    <w:p>
      <w:pPr>
        <w:pStyle w:val="BodyText"/>
        <w:bidi w:val="0"/>
        <w:jc w:val="left"/>
        <w:rPr/>
      </w:pPr>
      <w:r>
        <w:rPr/>
        <w:t>Where agent interactions are surfaced to humans through approvals, task cards, or dynamic interfaces:</w:t>
      </w:r>
    </w:p>
    <w:p>
      <w:pPr>
        <w:pStyle w:val="BodyText"/>
        <w:numPr>
          <w:ilvl w:val="0"/>
          <w:numId w:val="78"/>
        </w:numPr>
        <w:tabs>
          <w:tab w:val="clear" w:pos="1134"/>
          <w:tab w:val="left" w:pos="709" w:leader="none"/>
        </w:tabs>
        <w:bidi w:val="0"/>
        <w:spacing w:before="0" w:after="0"/>
        <w:ind w:hanging="283" w:left="709"/>
        <w:jc w:val="left"/>
        <w:rPr/>
      </w:pPr>
      <w:r>
        <w:rPr/>
        <w:t xml:space="preserve">the visible agent identity </w:t>
      </w:r>
      <w:r>
        <w:rPr>
          <w:rStyle w:val="SourceText"/>
        </w:rPr>
        <w:t>SHOULD</w:t>
      </w:r>
      <w:r>
        <w:rPr/>
        <w:t xml:space="preserve"> map to the canonical </w:t>
      </w:r>
      <w:r>
        <w:rPr>
          <w:rStyle w:val="SourceText"/>
        </w:rPr>
        <w:t>GAID</w:t>
      </w:r>
      <w:r>
        <w:rPr/>
        <w:t xml:space="preserve"> </w:t>
      </w:r>
    </w:p>
    <w:p>
      <w:pPr>
        <w:pStyle w:val="BodyText"/>
        <w:numPr>
          <w:ilvl w:val="0"/>
          <w:numId w:val="78"/>
        </w:numPr>
        <w:tabs>
          <w:tab w:val="clear" w:pos="1134"/>
          <w:tab w:val="left" w:pos="709" w:leader="none"/>
        </w:tabs>
        <w:bidi w:val="0"/>
        <w:spacing w:before="0" w:after="0"/>
        <w:ind w:hanging="283" w:left="709"/>
        <w:jc w:val="left"/>
        <w:rPr/>
      </w:pPr>
      <w:r>
        <w:rPr/>
        <w:t xml:space="preserve">approval prompts </w:t>
      </w:r>
      <w:r>
        <w:rPr>
          <w:rStyle w:val="SourceText"/>
        </w:rPr>
        <w:t>SHOULD</w:t>
      </w:r>
      <w:r>
        <w:rPr/>
        <w:t xml:space="preserve"> disclose enough badge and assurance information that the human can make an informed decision </w:t>
      </w:r>
    </w:p>
    <w:p>
      <w:pPr>
        <w:pStyle w:val="BodyText"/>
        <w:numPr>
          <w:ilvl w:val="0"/>
          <w:numId w:val="78"/>
        </w:numPr>
        <w:tabs>
          <w:tab w:val="clear" w:pos="1134"/>
          <w:tab w:val="left" w:pos="709" w:leader="none"/>
        </w:tabs>
        <w:bidi w:val="0"/>
        <w:spacing w:before="0" w:after="0"/>
        <w:ind w:hanging="283" w:left="709"/>
        <w:jc w:val="left"/>
        <w:rPr/>
      </w:pPr>
      <w:r>
        <w:rPr/>
        <w:t xml:space="preserve">approval prompts </w:t>
      </w:r>
      <w:r>
        <w:rPr>
          <w:rStyle w:val="SourceText"/>
        </w:rPr>
        <w:t>SHOULD</w:t>
      </w:r>
      <w:r>
        <w:rPr/>
        <w:t xml:space="preserve"> disclose the relevant </w:t>
      </w:r>
      <w:r>
        <w:rPr>
          <w:rStyle w:val="SourceText"/>
        </w:rPr>
        <w:t>receipt_id</w:t>
      </w:r>
      <w:r>
        <w:rPr/>
        <w:t xml:space="preserve"> or proposed receipt reference so the approval can later be audited and referenced precisely </w:t>
      </w:r>
    </w:p>
    <w:p>
      <w:pPr>
        <w:pStyle w:val="BodyText"/>
        <w:numPr>
          <w:ilvl w:val="0"/>
          <w:numId w:val="78"/>
        </w:numPr>
        <w:tabs>
          <w:tab w:val="clear" w:pos="1134"/>
          <w:tab w:val="left" w:pos="709" w:leader="none"/>
        </w:tabs>
        <w:bidi w:val="0"/>
        <w:ind w:hanging="283" w:left="709"/>
        <w:jc w:val="left"/>
        <w:rPr/>
      </w:pPr>
      <w:r>
        <w:rPr/>
        <w:t xml:space="preserve">any generated UI </w:t>
      </w:r>
      <w:r>
        <w:rPr>
          <w:rStyle w:val="SourceText"/>
        </w:rPr>
        <w:t>SHOULD NOT</w:t>
      </w:r>
      <w:r>
        <w:rPr/>
        <w:t xml:space="preserve"> obscure who the acting agent is, what class of action is proposed, or what evidence exists </w:t>
      </w:r>
    </w:p>
    <w:p>
      <w:pPr>
        <w:pStyle w:val="Heading3"/>
        <w:bidi w:val="0"/>
        <w:jc w:val="left"/>
        <w:rPr/>
      </w:pPr>
      <w:r>
        <w:rPr/>
        <w:t>11.11 Public Verifier Profile</w:t>
      </w:r>
    </w:p>
    <w:p>
      <w:pPr>
        <w:pStyle w:val="BodyText"/>
        <w:bidi w:val="0"/>
        <w:jc w:val="left"/>
        <w:rPr/>
      </w:pPr>
      <w:r>
        <w:rPr/>
        <w:t xml:space="preserve">For public verification flows, a conforming implementation </w:t>
      </w:r>
      <w:r>
        <w:rPr>
          <w:rStyle w:val="SourceText"/>
        </w:rPr>
        <w:t>SHOULD</w:t>
      </w:r>
      <w:r>
        <w:rPr/>
        <w:t xml:space="preserve"> make it possible for a relying party or verifier to:</w:t>
      </w:r>
    </w:p>
    <w:p>
      <w:pPr>
        <w:pStyle w:val="BodyText"/>
        <w:numPr>
          <w:ilvl w:val="0"/>
          <w:numId w:val="79"/>
        </w:numPr>
        <w:tabs>
          <w:tab w:val="clear" w:pos="1134"/>
          <w:tab w:val="left" w:pos="709" w:leader="none"/>
        </w:tabs>
        <w:bidi w:val="0"/>
        <w:spacing w:before="0" w:after="0"/>
        <w:ind w:hanging="283" w:left="709"/>
        <w:jc w:val="left"/>
        <w:rPr/>
      </w:pPr>
      <w:r>
        <w:rPr/>
        <w:t xml:space="preserve">resolve the canonical public </w:t>
      </w:r>
      <w:r>
        <w:rPr>
          <w:rStyle w:val="SourceText"/>
        </w:rPr>
        <w:t>GAID</w:t>
      </w:r>
      <w:r>
        <w:rPr/>
        <w:t xml:space="preserve"> </w:t>
      </w:r>
    </w:p>
    <w:p>
      <w:pPr>
        <w:pStyle w:val="BodyText"/>
        <w:numPr>
          <w:ilvl w:val="0"/>
          <w:numId w:val="79"/>
        </w:numPr>
        <w:tabs>
          <w:tab w:val="clear" w:pos="1134"/>
          <w:tab w:val="left" w:pos="709" w:leader="none"/>
        </w:tabs>
        <w:bidi w:val="0"/>
        <w:spacing w:before="0" w:after="0"/>
        <w:ind w:hanging="283" w:left="709"/>
        <w:jc w:val="left"/>
        <w:rPr/>
      </w:pPr>
      <w:r>
        <w:rPr/>
        <w:t xml:space="preserve">retrieve the current </w:t>
      </w:r>
      <w:r>
        <w:rPr>
          <w:rStyle w:val="SourceText"/>
        </w:rPr>
        <w:t>AIDoc</w:t>
      </w:r>
      <w:r>
        <w:rPr/>
        <w:t xml:space="preserve"> </w:t>
      </w:r>
    </w:p>
    <w:p>
      <w:pPr>
        <w:pStyle w:val="BodyText"/>
        <w:numPr>
          <w:ilvl w:val="0"/>
          <w:numId w:val="79"/>
        </w:numPr>
        <w:tabs>
          <w:tab w:val="clear" w:pos="1134"/>
          <w:tab w:val="left" w:pos="709" w:leader="none"/>
        </w:tabs>
        <w:bidi w:val="0"/>
        <w:spacing w:before="0" w:after="0"/>
        <w:ind w:hanging="283" w:left="709"/>
        <w:jc w:val="left"/>
        <w:rPr/>
      </w:pPr>
      <w:r>
        <w:rPr/>
        <w:t xml:space="preserve">verify issuer signature or equivalent cryptographic protection </w:t>
      </w:r>
    </w:p>
    <w:p>
      <w:pPr>
        <w:pStyle w:val="BodyText"/>
        <w:numPr>
          <w:ilvl w:val="0"/>
          <w:numId w:val="79"/>
        </w:numPr>
        <w:tabs>
          <w:tab w:val="clear" w:pos="1134"/>
          <w:tab w:val="left" w:pos="709" w:leader="none"/>
        </w:tabs>
        <w:bidi w:val="0"/>
        <w:spacing w:before="0" w:after="0"/>
        <w:ind w:hanging="283" w:left="709"/>
        <w:jc w:val="left"/>
        <w:rPr/>
      </w:pPr>
      <w:r>
        <w:rPr/>
        <w:t xml:space="preserve">verify issuer accreditation or federation trust status </w:t>
      </w:r>
    </w:p>
    <w:p>
      <w:pPr>
        <w:pStyle w:val="BodyText"/>
        <w:numPr>
          <w:ilvl w:val="0"/>
          <w:numId w:val="79"/>
        </w:numPr>
        <w:tabs>
          <w:tab w:val="clear" w:pos="1134"/>
          <w:tab w:val="left" w:pos="709" w:leader="none"/>
        </w:tabs>
        <w:bidi w:val="0"/>
        <w:spacing w:before="0" w:after="0"/>
        <w:ind w:hanging="283" w:left="709"/>
        <w:jc w:val="left"/>
        <w:rPr/>
      </w:pPr>
      <w:r>
        <w:rPr/>
        <w:t xml:space="preserve">verify current suspension, revocation, or retirement status </w:t>
      </w:r>
    </w:p>
    <w:p>
      <w:pPr>
        <w:pStyle w:val="BodyText"/>
        <w:numPr>
          <w:ilvl w:val="0"/>
          <w:numId w:val="79"/>
        </w:numPr>
        <w:tabs>
          <w:tab w:val="clear" w:pos="1134"/>
          <w:tab w:val="left" w:pos="709" w:leader="none"/>
        </w:tabs>
        <w:bidi w:val="0"/>
        <w:spacing w:before="0" w:after="0"/>
        <w:ind w:hanging="283" w:left="709"/>
        <w:jc w:val="left"/>
        <w:rPr/>
      </w:pPr>
      <w:r>
        <w:rPr/>
        <w:t xml:space="preserve">verify current badge validity and assurance level </w:t>
      </w:r>
    </w:p>
    <w:p>
      <w:pPr>
        <w:pStyle w:val="BodyText"/>
        <w:numPr>
          <w:ilvl w:val="0"/>
          <w:numId w:val="79"/>
        </w:numPr>
        <w:tabs>
          <w:tab w:val="clear" w:pos="1134"/>
          <w:tab w:val="left" w:pos="709" w:leader="none"/>
        </w:tabs>
        <w:bidi w:val="0"/>
        <w:ind w:hanging="283" w:left="709"/>
        <w:jc w:val="left"/>
        <w:rPr/>
      </w:pPr>
      <w:r>
        <w:rPr/>
        <w:t xml:space="preserve">inspect or validate receipt or trace evidence where a consequential action is in question </w:t>
      </w:r>
    </w:p>
    <w:p>
      <w:pPr>
        <w:pStyle w:val="BodyText"/>
        <w:bidi w:val="0"/>
        <w:jc w:val="left"/>
        <w:rPr/>
      </w:pPr>
      <w:r>
        <w:rPr/>
        <w:t xml:space="preserve">The verifier profile </w:t>
      </w:r>
      <w:r>
        <w:rPr>
          <w:rStyle w:val="SourceText"/>
        </w:rPr>
        <w:t>SHOULD</w:t>
      </w:r>
      <w:r>
        <w:rPr/>
        <w:t xml:space="preserve"> support this flow without requiring disclosure of internal-only prompts, secrets, or sensitive enterprise-only entitlement details.</w:t>
      </w:r>
    </w:p>
    <w:p>
      <w:pPr>
        <w:pStyle w:val="BodyText"/>
        <w:bidi w:val="0"/>
        <w:jc w:val="left"/>
        <w:rPr/>
      </w:pPr>
      <w:r>
        <w:rPr/>
        <w:t xml:space="preserve">The verifier profile </w:t>
      </w:r>
      <w:r>
        <w:rPr>
          <w:rStyle w:val="SourceText"/>
        </w:rPr>
        <w:t>SHOULD</w:t>
      </w:r>
      <w:r>
        <w:rPr/>
        <w:t xml:space="preserve"> also:</w:t>
      </w:r>
    </w:p>
    <w:p>
      <w:pPr>
        <w:pStyle w:val="BodyText"/>
        <w:numPr>
          <w:ilvl w:val="0"/>
          <w:numId w:val="80"/>
        </w:numPr>
        <w:tabs>
          <w:tab w:val="clear" w:pos="1134"/>
          <w:tab w:val="left" w:pos="709" w:leader="none"/>
        </w:tabs>
        <w:bidi w:val="0"/>
        <w:spacing w:before="0" w:after="0"/>
        <w:ind w:hanging="283" w:left="709"/>
        <w:jc w:val="left"/>
        <w:rPr/>
      </w:pPr>
      <w:r>
        <w:rPr/>
        <w:t xml:space="preserve">support either HTTPS issuer resolution or approved decentralized-resolution profiles where applicable </w:t>
      </w:r>
    </w:p>
    <w:p>
      <w:pPr>
        <w:pStyle w:val="BodyText"/>
        <w:numPr>
          <w:ilvl w:val="0"/>
          <w:numId w:val="80"/>
        </w:numPr>
        <w:tabs>
          <w:tab w:val="clear" w:pos="1134"/>
          <w:tab w:val="left" w:pos="709" w:leader="none"/>
        </w:tabs>
        <w:bidi w:val="0"/>
        <w:spacing w:before="0" w:after="0"/>
        <w:ind w:hanging="283" w:left="709"/>
        <w:jc w:val="left"/>
        <w:rPr/>
      </w:pPr>
      <w:r>
        <w:rPr/>
        <w:t xml:space="preserve">resolve issuer trust through an explicit trust anchor or trust-list source </w:t>
      </w:r>
    </w:p>
    <w:p>
      <w:pPr>
        <w:pStyle w:val="BodyText"/>
        <w:numPr>
          <w:ilvl w:val="0"/>
          <w:numId w:val="80"/>
        </w:numPr>
        <w:tabs>
          <w:tab w:val="clear" w:pos="1134"/>
          <w:tab w:val="left" w:pos="709" w:leader="none"/>
        </w:tabs>
        <w:bidi w:val="0"/>
        <w:ind w:hanging="283" w:left="709"/>
        <w:jc w:val="left"/>
        <w:rPr/>
      </w:pPr>
      <w:r>
        <w:rPr/>
        <w:t xml:space="preserve">enforce freshness policy for cached status material </w:t>
      </w:r>
    </w:p>
    <w:p>
      <w:pPr>
        <w:pStyle w:val="Heading2"/>
        <w:bidi w:val="0"/>
        <w:jc w:val="left"/>
        <w:rPr/>
      </w:pPr>
      <w:r>
        <w:rPr/>
        <w:t>12. Security and Privacy Considerations</w:t>
      </w:r>
    </w:p>
    <w:p>
      <w:pPr>
        <w:pStyle w:val="BodyText"/>
        <w:bidi w:val="0"/>
        <w:jc w:val="left"/>
        <w:rPr/>
      </w:pPr>
      <w:r>
        <w:rPr/>
        <w:t>An implementation conforming to this standard:</w:t>
      </w:r>
    </w:p>
    <w:p>
      <w:pPr>
        <w:pStyle w:val="BodyText"/>
        <w:numPr>
          <w:ilvl w:val="0"/>
          <w:numId w:val="81"/>
        </w:numPr>
        <w:tabs>
          <w:tab w:val="clear" w:pos="1134"/>
          <w:tab w:val="left" w:pos="709" w:leader="none"/>
        </w:tabs>
        <w:bidi w:val="0"/>
        <w:spacing w:before="0" w:after="0"/>
        <w:ind w:hanging="283" w:left="709"/>
        <w:jc w:val="left"/>
        <w:rPr/>
      </w:pPr>
      <w:r>
        <w:rPr>
          <w:rStyle w:val="SourceText"/>
        </w:rPr>
        <w:t>MUST</w:t>
      </w:r>
      <w:r>
        <w:rPr/>
        <w:t xml:space="preserve"> defend against agent identity spoofing </w:t>
      </w:r>
    </w:p>
    <w:p>
      <w:pPr>
        <w:pStyle w:val="BodyText"/>
        <w:numPr>
          <w:ilvl w:val="0"/>
          <w:numId w:val="81"/>
        </w:numPr>
        <w:tabs>
          <w:tab w:val="clear" w:pos="1134"/>
          <w:tab w:val="left" w:pos="709" w:leader="none"/>
        </w:tabs>
        <w:bidi w:val="0"/>
        <w:spacing w:before="0" w:after="0"/>
        <w:ind w:hanging="283" w:left="709"/>
        <w:jc w:val="left"/>
        <w:rPr/>
      </w:pPr>
      <w:r>
        <w:rPr>
          <w:rStyle w:val="SourceText"/>
        </w:rPr>
        <w:t>MUST</w:t>
      </w:r>
      <w:r>
        <w:rPr/>
        <w:t xml:space="preserve"> support key rotation and status updates </w:t>
      </w:r>
    </w:p>
    <w:p>
      <w:pPr>
        <w:pStyle w:val="BodyText"/>
        <w:numPr>
          <w:ilvl w:val="0"/>
          <w:numId w:val="81"/>
        </w:numPr>
        <w:tabs>
          <w:tab w:val="clear" w:pos="1134"/>
          <w:tab w:val="left" w:pos="709" w:leader="none"/>
        </w:tabs>
        <w:bidi w:val="0"/>
        <w:spacing w:before="0" w:after="0"/>
        <w:ind w:hanging="283" w:left="709"/>
        <w:jc w:val="left"/>
        <w:rPr/>
      </w:pPr>
      <w:r>
        <w:rPr>
          <w:rStyle w:val="SourceText"/>
        </w:rPr>
        <w:t>MUST</w:t>
      </w:r>
      <w:r>
        <w:rPr/>
        <w:t xml:space="preserve"> distinguish hidden-instruction disclosure from hidden-instruction publication </w:t>
      </w:r>
    </w:p>
    <w:p>
      <w:pPr>
        <w:pStyle w:val="BodyText"/>
        <w:numPr>
          <w:ilvl w:val="0"/>
          <w:numId w:val="81"/>
        </w:numPr>
        <w:tabs>
          <w:tab w:val="clear" w:pos="1134"/>
          <w:tab w:val="left" w:pos="709" w:leader="none"/>
        </w:tabs>
        <w:bidi w:val="0"/>
        <w:spacing w:before="0" w:after="0"/>
        <w:ind w:hanging="283" w:left="709"/>
        <w:jc w:val="left"/>
        <w:rPr/>
      </w:pPr>
      <w:r>
        <w:rPr>
          <w:rStyle w:val="SourceText"/>
        </w:rPr>
        <w:t>MUST</w:t>
      </w:r>
      <w:r>
        <w:rPr/>
        <w:t xml:space="preserve"> treat prompt injection, tool injection, and connector compromise as identity-relevant risks, not merely runtime bugs </w:t>
      </w:r>
    </w:p>
    <w:p>
      <w:pPr>
        <w:pStyle w:val="BodyText"/>
        <w:numPr>
          <w:ilvl w:val="0"/>
          <w:numId w:val="81"/>
        </w:numPr>
        <w:tabs>
          <w:tab w:val="clear" w:pos="1134"/>
          <w:tab w:val="left" w:pos="709" w:leader="none"/>
        </w:tabs>
        <w:bidi w:val="0"/>
        <w:spacing w:before="0" w:after="0"/>
        <w:ind w:hanging="283" w:left="709"/>
        <w:jc w:val="left"/>
        <w:rPr/>
      </w:pPr>
      <w:r>
        <w:rPr>
          <w:rStyle w:val="SourceText"/>
        </w:rPr>
        <w:t>SHOULD</w:t>
      </w:r>
      <w:r>
        <w:rPr/>
        <w:t xml:space="preserve"> bind public agent identity to organizational certificates or equivalent verification material </w:t>
      </w:r>
    </w:p>
    <w:p>
      <w:pPr>
        <w:pStyle w:val="BodyText"/>
        <w:numPr>
          <w:ilvl w:val="0"/>
          <w:numId w:val="81"/>
        </w:numPr>
        <w:tabs>
          <w:tab w:val="clear" w:pos="1134"/>
          <w:tab w:val="left" w:pos="709" w:leader="none"/>
        </w:tabs>
        <w:bidi w:val="0"/>
        <w:spacing w:before="0" w:after="0"/>
        <w:ind w:hanging="283" w:left="709"/>
        <w:jc w:val="left"/>
        <w:rPr/>
      </w:pPr>
      <w:r>
        <w:rPr>
          <w:rStyle w:val="SourceText"/>
        </w:rPr>
        <w:t>SHOULD</w:t>
      </w:r>
      <w:r>
        <w:rPr/>
        <w:t xml:space="preserve"> use transparency logging for public issuance and revocation events </w:t>
      </w:r>
    </w:p>
    <w:p>
      <w:pPr>
        <w:pStyle w:val="BodyText"/>
        <w:numPr>
          <w:ilvl w:val="0"/>
          <w:numId w:val="81"/>
        </w:numPr>
        <w:tabs>
          <w:tab w:val="clear" w:pos="1134"/>
          <w:tab w:val="left" w:pos="709" w:leader="none"/>
        </w:tabs>
        <w:bidi w:val="0"/>
        <w:spacing w:before="0" w:after="0"/>
        <w:ind w:hanging="283" w:left="709"/>
        <w:jc w:val="left"/>
        <w:rPr/>
      </w:pPr>
      <w:r>
        <w:rPr>
          <w:rStyle w:val="SourceText"/>
        </w:rPr>
        <w:t>SHOULD</w:t>
      </w:r>
      <w:r>
        <w:rPr/>
        <w:t xml:space="preserve"> minimize personally identifiable information in public identity documents and receipts </w:t>
      </w:r>
    </w:p>
    <w:p>
      <w:pPr>
        <w:pStyle w:val="BodyText"/>
        <w:numPr>
          <w:ilvl w:val="0"/>
          <w:numId w:val="81"/>
        </w:numPr>
        <w:tabs>
          <w:tab w:val="clear" w:pos="1134"/>
          <w:tab w:val="left" w:pos="709" w:leader="none"/>
        </w:tabs>
        <w:bidi w:val="0"/>
        <w:spacing w:before="0" w:after="0"/>
        <w:ind w:hanging="283" w:left="709"/>
        <w:jc w:val="left"/>
        <w:rPr/>
      </w:pPr>
      <w:r>
        <w:rPr>
          <w:rStyle w:val="SourceText"/>
        </w:rPr>
        <w:t>MUST</w:t>
      </w:r>
      <w:r>
        <w:rPr/>
        <w:t xml:space="preserve"> treat internal agent identity, delegation topology, installation topology, and private namespace structure as protected metadata at an organization boundary </w:t>
      </w:r>
    </w:p>
    <w:p>
      <w:pPr>
        <w:pStyle w:val="BodyText"/>
        <w:numPr>
          <w:ilvl w:val="0"/>
          <w:numId w:val="81"/>
        </w:numPr>
        <w:tabs>
          <w:tab w:val="clear" w:pos="1134"/>
          <w:tab w:val="left" w:pos="709" w:leader="none"/>
        </w:tabs>
        <w:bidi w:val="0"/>
        <w:spacing w:before="0" w:after="0"/>
        <w:ind w:hanging="283" w:left="709"/>
        <w:jc w:val="left"/>
        <w:rPr/>
      </w:pPr>
      <w:r>
        <w:rPr>
          <w:rStyle w:val="SourceText"/>
        </w:rPr>
        <w:t>SHOULD</w:t>
      </w:r>
      <w:r>
        <w:rPr/>
        <w:t xml:space="preserve"> align threat analysis and control mapping with public catalogs such as </w:t>
      </w:r>
      <w:r>
        <w:rPr>
          <w:rStyle w:val="SourceText"/>
        </w:rPr>
        <w:t>OWASP</w:t>
      </w:r>
      <w:r>
        <w:rPr/>
        <w:t xml:space="preserve"> Top 10 for Agentic Applications, </w:t>
      </w:r>
      <w:r>
        <w:rPr>
          <w:rStyle w:val="SourceText"/>
        </w:rPr>
        <w:t>CSA MAESTRO</w:t>
      </w:r>
      <w:r>
        <w:rPr/>
        <w:t xml:space="preserve">, and </w:t>
      </w:r>
      <w:r>
        <w:rPr>
          <w:rStyle w:val="SourceText"/>
        </w:rPr>
        <w:t>MITRE ATLAS</w:t>
      </w:r>
      <w:r>
        <w:rPr/>
        <w:t xml:space="preserve"> </w:t>
      </w:r>
    </w:p>
    <w:p>
      <w:pPr>
        <w:pStyle w:val="BodyText"/>
        <w:numPr>
          <w:ilvl w:val="0"/>
          <w:numId w:val="81"/>
        </w:numPr>
        <w:tabs>
          <w:tab w:val="clear" w:pos="1134"/>
          <w:tab w:val="left" w:pos="709" w:leader="none"/>
        </w:tabs>
        <w:bidi w:val="0"/>
        <w:spacing w:before="0" w:after="0"/>
        <w:ind w:hanging="283" w:left="709"/>
        <w:jc w:val="left"/>
        <w:rPr/>
      </w:pPr>
      <w:r>
        <w:rPr>
          <w:rStyle w:val="SourceText"/>
        </w:rPr>
        <w:t>SHOULD</w:t>
      </w:r>
      <w:r>
        <w:rPr/>
        <w:t xml:space="preserve"> consider applicable privacy and transparency obligations under frameworks such as the </w:t>
      </w:r>
      <w:r>
        <w:rPr>
          <w:rStyle w:val="SourceText"/>
        </w:rPr>
        <w:t>EU</w:t>
      </w:r>
      <w:r>
        <w:rPr/>
        <w:t xml:space="preserve"> GPAI Code of Practice, enterprise privacy programs, and sector-specific disclosure rules </w:t>
      </w:r>
    </w:p>
    <w:p>
      <w:pPr>
        <w:pStyle w:val="BodyText"/>
        <w:numPr>
          <w:ilvl w:val="0"/>
          <w:numId w:val="81"/>
        </w:numPr>
        <w:tabs>
          <w:tab w:val="clear" w:pos="1134"/>
          <w:tab w:val="left" w:pos="709" w:leader="none"/>
        </w:tabs>
        <w:bidi w:val="0"/>
        <w:ind w:hanging="283" w:left="709"/>
        <w:jc w:val="left"/>
        <w:rPr/>
      </w:pPr>
      <w:r>
        <w:rPr>
          <w:rStyle w:val="SourceText"/>
        </w:rPr>
        <w:t>MAY</w:t>
      </w:r>
      <w:r>
        <w:rPr/>
        <w:t xml:space="preserve"> support selective disclosure for regulated or classified environments </w:t>
      </w:r>
    </w:p>
    <w:p>
      <w:pPr>
        <w:pStyle w:val="BodyText"/>
        <w:bidi w:val="0"/>
        <w:jc w:val="left"/>
        <w:rPr/>
      </w:pPr>
      <w:r>
        <w:rPr/>
        <w:t xml:space="preserve">A shared starter artifact for this work </w:t>
      </w:r>
      <w:r>
        <w:rPr>
          <w:rStyle w:val="SourceText"/>
        </w:rPr>
        <w:t>MAY</w:t>
      </w:r>
      <w:r>
        <w:rPr/>
        <w:t xml:space="preserve"> be published as </w:t>
      </w:r>
      <w:r>
        <w:rPr>
          <w:rStyle w:val="SourceText"/>
        </w:rPr>
        <w:t>agent-standards-threat-model.md</w:t>
      </w:r>
      <w:r>
        <w:rPr/>
        <w:t>, provided implementations still adapt it to their real issuer, verifier, and deployment boundaries.</w:t>
      </w:r>
    </w:p>
    <w:p>
      <w:pPr>
        <w:pStyle w:val="BodyText"/>
        <w:bidi w:val="0"/>
        <w:jc w:val="left"/>
        <w:rPr/>
      </w:pPr>
      <w:r>
        <w:rPr/>
        <w:t xml:space="preserve">An issuer </w:t>
      </w:r>
      <w:r>
        <w:rPr>
          <w:rStyle w:val="SourceText"/>
        </w:rPr>
        <w:t>MUST NOT</w:t>
      </w:r>
      <w:r>
        <w:rPr/>
        <w:t xml:space="preserve"> imply that identity proof alone guarantees behavioral safety. Identity enables accountability. It does not replace runtime controls.</w:t>
      </w:r>
    </w:p>
    <w:p>
      <w:pPr>
        <w:pStyle w:val="Heading2"/>
        <w:bidi w:val="0"/>
        <w:jc w:val="left"/>
        <w:rPr/>
      </w:pPr>
      <w:r>
        <w:rPr/>
        <w:t>13. Conformance Profiles</w:t>
      </w:r>
    </w:p>
    <w:p>
      <w:pPr>
        <w:pStyle w:val="Heading3"/>
        <w:bidi w:val="0"/>
        <w:jc w:val="left"/>
        <w:rPr/>
      </w:pPr>
      <w:r>
        <w:rPr/>
        <w:t xml:space="preserve">13.1 </w:t>
      </w:r>
      <w:r>
        <w:rPr>
          <w:rStyle w:val="SourceText"/>
        </w:rPr>
        <w:t>GAID-Private</w:t>
      </w:r>
    </w:p>
    <w:p>
      <w:pPr>
        <w:pStyle w:val="BodyText"/>
        <w:bidi w:val="0"/>
        <w:jc w:val="left"/>
        <w:rPr/>
      </w:pPr>
      <w:r>
        <w:rPr/>
        <w:t xml:space="preserve">A </w:t>
      </w:r>
      <w:r>
        <w:rPr>
          <w:rStyle w:val="SourceText"/>
        </w:rPr>
        <w:t>GAID-Private</w:t>
      </w:r>
      <w:r>
        <w:rPr/>
        <w:t xml:space="preserve"> implementation:</w:t>
      </w:r>
    </w:p>
    <w:p>
      <w:pPr>
        <w:pStyle w:val="BodyText"/>
        <w:numPr>
          <w:ilvl w:val="0"/>
          <w:numId w:val="82"/>
        </w:numPr>
        <w:tabs>
          <w:tab w:val="clear" w:pos="1134"/>
          <w:tab w:val="left" w:pos="709" w:leader="none"/>
        </w:tabs>
        <w:bidi w:val="0"/>
        <w:spacing w:before="0" w:after="0"/>
        <w:ind w:hanging="283" w:left="709"/>
        <w:jc w:val="left"/>
        <w:rPr/>
      </w:pPr>
      <w:r>
        <w:rPr>
          <w:rStyle w:val="SourceText"/>
        </w:rPr>
        <w:t>MUST</w:t>
      </w:r>
      <w:r>
        <w:rPr/>
        <w:t xml:space="preserve"> issue stable private identifiers </w:t>
      </w:r>
    </w:p>
    <w:p>
      <w:pPr>
        <w:pStyle w:val="BodyText"/>
        <w:numPr>
          <w:ilvl w:val="0"/>
          <w:numId w:val="82"/>
        </w:numPr>
        <w:tabs>
          <w:tab w:val="clear" w:pos="1134"/>
          <w:tab w:val="left" w:pos="709" w:leader="none"/>
        </w:tabs>
        <w:bidi w:val="0"/>
        <w:spacing w:before="0" w:after="0"/>
        <w:ind w:hanging="283" w:left="709"/>
        <w:jc w:val="left"/>
        <w:rPr/>
      </w:pPr>
      <w:r>
        <w:rPr>
          <w:rStyle w:val="SourceText"/>
        </w:rPr>
        <w:t>MUST</w:t>
      </w:r>
      <w:r>
        <w:rPr/>
        <w:t xml:space="preserve"> maintain local </w:t>
      </w:r>
      <w:r>
        <w:rPr>
          <w:rStyle w:val="SourceText"/>
        </w:rPr>
        <w:t>AIDoc</w:t>
      </w:r>
      <w:r>
        <w:rPr/>
        <w:t xml:space="preserve"> resolution </w:t>
      </w:r>
    </w:p>
    <w:p>
      <w:pPr>
        <w:pStyle w:val="BodyText"/>
        <w:numPr>
          <w:ilvl w:val="0"/>
          <w:numId w:val="82"/>
        </w:numPr>
        <w:tabs>
          <w:tab w:val="clear" w:pos="1134"/>
          <w:tab w:val="left" w:pos="709" w:leader="none"/>
        </w:tabs>
        <w:bidi w:val="0"/>
        <w:spacing w:before="0" w:after="0"/>
        <w:ind w:hanging="283" w:left="709"/>
        <w:jc w:val="left"/>
        <w:rPr/>
      </w:pPr>
      <w:r>
        <w:rPr>
          <w:rStyle w:val="SourceText"/>
        </w:rPr>
        <w:t>MUST</w:t>
      </w:r>
      <w:r>
        <w:rPr/>
        <w:t xml:space="preserve"> record status </w:t>
      </w:r>
    </w:p>
    <w:p>
      <w:pPr>
        <w:pStyle w:val="BodyText"/>
        <w:numPr>
          <w:ilvl w:val="0"/>
          <w:numId w:val="82"/>
        </w:numPr>
        <w:tabs>
          <w:tab w:val="clear" w:pos="1134"/>
          <w:tab w:val="left" w:pos="709" w:leader="none"/>
        </w:tabs>
        <w:bidi w:val="0"/>
        <w:spacing w:before="0" w:after="0"/>
        <w:ind w:hanging="283" w:left="709"/>
        <w:jc w:val="left"/>
        <w:rPr/>
      </w:pPr>
      <w:r>
        <w:rPr>
          <w:rStyle w:val="SourceText"/>
        </w:rPr>
        <w:t>SHOULD</w:t>
      </w:r>
      <w:r>
        <w:rPr/>
        <w:t xml:space="preserve"> project the identity into enterprise directory or lifecycle systems where relevant </w:t>
      </w:r>
    </w:p>
    <w:p>
      <w:pPr>
        <w:pStyle w:val="BodyText"/>
        <w:numPr>
          <w:ilvl w:val="0"/>
          <w:numId w:val="82"/>
        </w:numPr>
        <w:tabs>
          <w:tab w:val="clear" w:pos="1134"/>
          <w:tab w:val="left" w:pos="709" w:leader="none"/>
        </w:tabs>
        <w:bidi w:val="0"/>
        <w:spacing w:before="0" w:after="0"/>
        <w:ind w:hanging="283" w:left="709"/>
        <w:jc w:val="left"/>
        <w:rPr/>
      </w:pPr>
      <w:r>
        <w:rPr>
          <w:rStyle w:val="SourceText"/>
        </w:rPr>
        <w:t>SHOULD</w:t>
      </w:r>
      <w:r>
        <w:rPr/>
        <w:t xml:space="preserve"> carry owner, sponsor, or responsible-team accountability metadata </w:t>
      </w:r>
    </w:p>
    <w:p>
      <w:pPr>
        <w:pStyle w:val="BodyText"/>
        <w:numPr>
          <w:ilvl w:val="0"/>
          <w:numId w:val="82"/>
        </w:numPr>
        <w:tabs>
          <w:tab w:val="clear" w:pos="1134"/>
          <w:tab w:val="left" w:pos="709" w:leader="none"/>
        </w:tabs>
        <w:bidi w:val="0"/>
        <w:spacing w:before="0" w:after="0"/>
        <w:ind w:hanging="283" w:left="709"/>
        <w:jc w:val="left"/>
        <w:rPr/>
      </w:pPr>
      <w:r>
        <w:rPr>
          <w:rStyle w:val="SourceText"/>
        </w:rPr>
        <w:t>SHOULD</w:t>
      </w:r>
      <w:r>
        <w:rPr/>
        <w:t xml:space="preserve"> issue receipts for consequential actions </w:t>
      </w:r>
    </w:p>
    <w:p>
      <w:pPr>
        <w:pStyle w:val="BodyText"/>
        <w:numPr>
          <w:ilvl w:val="0"/>
          <w:numId w:val="82"/>
        </w:numPr>
        <w:tabs>
          <w:tab w:val="clear" w:pos="1134"/>
          <w:tab w:val="left" w:pos="709" w:leader="none"/>
        </w:tabs>
        <w:bidi w:val="0"/>
        <w:ind w:hanging="283" w:left="709"/>
        <w:jc w:val="left"/>
        <w:rPr/>
      </w:pPr>
      <w:r>
        <w:rPr>
          <w:rStyle w:val="SourceText"/>
        </w:rPr>
        <w:t>MAY</w:t>
      </w:r>
      <w:r>
        <w:rPr/>
        <w:t xml:space="preserve"> omit public accreditation and external certificate validation </w:t>
      </w:r>
    </w:p>
    <w:p>
      <w:pPr>
        <w:pStyle w:val="Heading3"/>
        <w:bidi w:val="0"/>
        <w:jc w:val="left"/>
        <w:rPr/>
      </w:pPr>
      <w:r>
        <w:rPr/>
        <w:t xml:space="preserve">13.2 </w:t>
      </w:r>
      <w:r>
        <w:rPr>
          <w:rStyle w:val="SourceText"/>
        </w:rPr>
        <w:t>GAID-Federated</w:t>
      </w:r>
    </w:p>
    <w:p>
      <w:pPr>
        <w:pStyle w:val="BodyText"/>
        <w:bidi w:val="0"/>
        <w:jc w:val="left"/>
        <w:rPr/>
      </w:pPr>
      <w:r>
        <w:rPr/>
        <w:t xml:space="preserve">A </w:t>
      </w:r>
      <w:r>
        <w:rPr>
          <w:rStyle w:val="SourceText"/>
        </w:rPr>
        <w:t>GAID-Federated</w:t>
      </w:r>
      <w:r>
        <w:rPr/>
        <w:t xml:space="preserve"> implementation:</w:t>
      </w:r>
    </w:p>
    <w:p>
      <w:pPr>
        <w:pStyle w:val="BodyText"/>
        <w:numPr>
          <w:ilvl w:val="0"/>
          <w:numId w:val="83"/>
        </w:numPr>
        <w:tabs>
          <w:tab w:val="clear" w:pos="1134"/>
          <w:tab w:val="left" w:pos="709" w:leader="none"/>
        </w:tabs>
        <w:bidi w:val="0"/>
        <w:spacing w:before="0" w:after="0"/>
        <w:ind w:hanging="283" w:left="709"/>
        <w:jc w:val="left"/>
        <w:rPr/>
      </w:pPr>
      <w:r>
        <w:rPr>
          <w:rStyle w:val="SourceText"/>
        </w:rPr>
        <w:t>MUST</w:t>
      </w:r>
      <w:r>
        <w:rPr/>
        <w:t xml:space="preserve"> meet all </w:t>
      </w:r>
      <w:r>
        <w:rPr>
          <w:rStyle w:val="SourceText"/>
        </w:rPr>
        <w:t>GAID-Private</w:t>
      </w:r>
      <w:r>
        <w:rPr/>
        <w:t xml:space="preserve"> requirements </w:t>
      </w:r>
    </w:p>
    <w:p>
      <w:pPr>
        <w:pStyle w:val="BodyText"/>
        <w:numPr>
          <w:ilvl w:val="0"/>
          <w:numId w:val="83"/>
        </w:numPr>
        <w:tabs>
          <w:tab w:val="clear" w:pos="1134"/>
          <w:tab w:val="left" w:pos="709" w:leader="none"/>
        </w:tabs>
        <w:bidi w:val="0"/>
        <w:spacing w:before="0" w:after="0"/>
        <w:ind w:hanging="283" w:left="709"/>
        <w:jc w:val="left"/>
        <w:rPr/>
      </w:pPr>
      <w:r>
        <w:rPr>
          <w:rStyle w:val="SourceText"/>
        </w:rPr>
        <w:t>MUST</w:t>
      </w:r>
      <w:r>
        <w:rPr/>
        <w:t xml:space="preserve"> support delegated issuer governance </w:t>
      </w:r>
    </w:p>
    <w:p>
      <w:pPr>
        <w:pStyle w:val="BodyText"/>
        <w:numPr>
          <w:ilvl w:val="0"/>
          <w:numId w:val="83"/>
        </w:numPr>
        <w:tabs>
          <w:tab w:val="clear" w:pos="1134"/>
          <w:tab w:val="left" w:pos="709" w:leader="none"/>
        </w:tabs>
        <w:bidi w:val="0"/>
        <w:spacing w:before="0" w:after="0"/>
        <w:ind w:hanging="283" w:left="709"/>
        <w:jc w:val="left"/>
        <w:rPr/>
      </w:pPr>
      <w:r>
        <w:rPr>
          <w:rStyle w:val="SourceText"/>
        </w:rPr>
        <w:t>MUST</w:t>
      </w:r>
      <w:r>
        <w:rPr/>
        <w:t xml:space="preserve"> support signed </w:t>
      </w:r>
      <w:r>
        <w:rPr>
          <w:rStyle w:val="SourceText"/>
        </w:rPr>
        <w:t>AIDoc</w:t>
      </w:r>
      <w:r>
        <w:rPr/>
        <w:t xml:space="preserve"> publication </w:t>
      </w:r>
    </w:p>
    <w:p>
      <w:pPr>
        <w:pStyle w:val="BodyText"/>
        <w:numPr>
          <w:ilvl w:val="0"/>
          <w:numId w:val="83"/>
        </w:numPr>
        <w:tabs>
          <w:tab w:val="clear" w:pos="1134"/>
          <w:tab w:val="left" w:pos="709" w:leader="none"/>
        </w:tabs>
        <w:bidi w:val="0"/>
        <w:spacing w:before="0" w:after="0"/>
        <w:ind w:hanging="283" w:left="709"/>
        <w:jc w:val="left"/>
        <w:rPr/>
      </w:pPr>
      <w:r>
        <w:rPr>
          <w:rStyle w:val="SourceText"/>
        </w:rPr>
        <w:t>MUST</w:t>
      </w:r>
      <w:r>
        <w:rPr/>
        <w:t xml:space="preserve"> support receipt integrity and status checking </w:t>
      </w:r>
    </w:p>
    <w:p>
      <w:pPr>
        <w:pStyle w:val="BodyText"/>
        <w:numPr>
          <w:ilvl w:val="0"/>
          <w:numId w:val="83"/>
        </w:numPr>
        <w:tabs>
          <w:tab w:val="clear" w:pos="1134"/>
          <w:tab w:val="left" w:pos="709" w:leader="none"/>
        </w:tabs>
        <w:bidi w:val="0"/>
        <w:spacing w:before="0" w:after="0"/>
        <w:ind w:hanging="283" w:left="709"/>
        <w:jc w:val="left"/>
        <w:rPr/>
      </w:pPr>
      <w:r>
        <w:rPr>
          <w:rStyle w:val="SourceText"/>
        </w:rPr>
        <w:t>MUST</w:t>
      </w:r>
      <w:r>
        <w:rPr/>
        <w:t xml:space="preserve"> support policy-derived boundary projections and protected participation graphs for consequential cross-boundary multi-agent interactions </w:t>
      </w:r>
    </w:p>
    <w:p>
      <w:pPr>
        <w:pStyle w:val="BodyText"/>
        <w:numPr>
          <w:ilvl w:val="0"/>
          <w:numId w:val="83"/>
        </w:numPr>
        <w:tabs>
          <w:tab w:val="clear" w:pos="1134"/>
          <w:tab w:val="left" w:pos="709" w:leader="none"/>
        </w:tabs>
        <w:bidi w:val="0"/>
        <w:spacing w:before="0" w:after="0"/>
        <w:ind w:hanging="283" w:left="709"/>
        <w:jc w:val="left"/>
        <w:rPr/>
      </w:pPr>
      <w:r>
        <w:rPr>
          <w:rStyle w:val="SourceText"/>
        </w:rPr>
        <w:t>SHOULD</w:t>
      </w:r>
      <w:r>
        <w:rPr/>
        <w:t xml:space="preserve"> maintain a transparency log </w:t>
      </w:r>
    </w:p>
    <w:p>
      <w:pPr>
        <w:pStyle w:val="BodyText"/>
        <w:numPr>
          <w:ilvl w:val="0"/>
          <w:numId w:val="83"/>
        </w:numPr>
        <w:tabs>
          <w:tab w:val="clear" w:pos="1134"/>
          <w:tab w:val="left" w:pos="709" w:leader="none"/>
        </w:tabs>
        <w:bidi w:val="0"/>
        <w:spacing w:before="0" w:after="0"/>
        <w:ind w:hanging="283" w:left="709"/>
        <w:jc w:val="left"/>
        <w:rPr/>
      </w:pPr>
      <w:r>
        <w:rPr>
          <w:rStyle w:val="SourceText"/>
        </w:rPr>
        <w:t>SHOULD</w:t>
      </w:r>
      <w:r>
        <w:rPr/>
        <w:t xml:space="preserve"> support organization-attested, independently-assessed, and accredited-certified badges </w:t>
      </w:r>
    </w:p>
    <w:p>
      <w:pPr>
        <w:pStyle w:val="BodyText"/>
        <w:numPr>
          <w:ilvl w:val="0"/>
          <w:numId w:val="83"/>
        </w:numPr>
        <w:tabs>
          <w:tab w:val="clear" w:pos="1134"/>
          <w:tab w:val="left" w:pos="709" w:leader="none"/>
        </w:tabs>
        <w:bidi w:val="0"/>
        <w:ind w:hanging="283" w:left="709"/>
        <w:jc w:val="left"/>
        <w:rPr/>
      </w:pPr>
      <w:r>
        <w:rPr>
          <w:rStyle w:val="SourceText"/>
        </w:rPr>
        <w:t>SHOULD</w:t>
      </w:r>
      <w:r>
        <w:rPr/>
        <w:t xml:space="preserve"> support verifier-facing trust-list or federation publication </w:t>
      </w:r>
    </w:p>
    <w:p>
      <w:pPr>
        <w:pStyle w:val="Heading3"/>
        <w:bidi w:val="0"/>
        <w:jc w:val="left"/>
        <w:rPr/>
      </w:pPr>
      <w:r>
        <w:rPr/>
        <w:t xml:space="preserve">13.3 </w:t>
      </w:r>
      <w:r>
        <w:rPr>
          <w:rStyle w:val="SourceText"/>
        </w:rPr>
        <w:t>GAID-Public</w:t>
      </w:r>
    </w:p>
    <w:p>
      <w:pPr>
        <w:pStyle w:val="BodyText"/>
        <w:bidi w:val="0"/>
        <w:jc w:val="left"/>
        <w:rPr/>
      </w:pPr>
      <w:r>
        <w:rPr/>
        <w:t xml:space="preserve">A </w:t>
      </w:r>
      <w:r>
        <w:rPr>
          <w:rStyle w:val="SourceText"/>
        </w:rPr>
        <w:t>GAID-Public</w:t>
      </w:r>
      <w:r>
        <w:rPr/>
        <w:t xml:space="preserve"> implementation:</w:t>
      </w:r>
    </w:p>
    <w:p>
      <w:pPr>
        <w:pStyle w:val="BodyText"/>
        <w:numPr>
          <w:ilvl w:val="0"/>
          <w:numId w:val="84"/>
        </w:numPr>
        <w:tabs>
          <w:tab w:val="clear" w:pos="1134"/>
          <w:tab w:val="left" w:pos="709" w:leader="none"/>
        </w:tabs>
        <w:bidi w:val="0"/>
        <w:spacing w:before="0" w:after="0"/>
        <w:ind w:hanging="283" w:left="709"/>
        <w:jc w:val="left"/>
        <w:rPr/>
      </w:pPr>
      <w:r>
        <w:rPr>
          <w:rStyle w:val="SourceText"/>
        </w:rPr>
        <w:t>MUST</w:t>
      </w:r>
      <w:r>
        <w:rPr/>
        <w:t xml:space="preserve"> meet all </w:t>
      </w:r>
      <w:r>
        <w:rPr>
          <w:rStyle w:val="SourceText"/>
        </w:rPr>
        <w:t>GAID-Federated</w:t>
      </w:r>
      <w:r>
        <w:rPr/>
        <w:t xml:space="preserve"> requirements </w:t>
      </w:r>
    </w:p>
    <w:p>
      <w:pPr>
        <w:pStyle w:val="BodyText"/>
        <w:numPr>
          <w:ilvl w:val="0"/>
          <w:numId w:val="84"/>
        </w:numPr>
        <w:tabs>
          <w:tab w:val="clear" w:pos="1134"/>
          <w:tab w:val="left" w:pos="709" w:leader="none"/>
        </w:tabs>
        <w:bidi w:val="0"/>
        <w:spacing w:before="0" w:after="0"/>
        <w:ind w:hanging="283" w:left="709"/>
        <w:jc w:val="left"/>
        <w:rPr/>
      </w:pPr>
      <w:r>
        <w:rPr>
          <w:rStyle w:val="SourceText"/>
        </w:rPr>
        <w:t>MUST</w:t>
      </w:r>
      <w:r>
        <w:rPr/>
        <w:t xml:space="preserve"> use an accredited issuer model or recognized federated equivalent </w:t>
      </w:r>
    </w:p>
    <w:p>
      <w:pPr>
        <w:pStyle w:val="BodyText"/>
        <w:numPr>
          <w:ilvl w:val="0"/>
          <w:numId w:val="84"/>
        </w:numPr>
        <w:tabs>
          <w:tab w:val="clear" w:pos="1134"/>
          <w:tab w:val="left" w:pos="709" w:leader="none"/>
        </w:tabs>
        <w:bidi w:val="0"/>
        <w:spacing w:before="0" w:after="0"/>
        <w:ind w:hanging="283" w:left="709"/>
        <w:jc w:val="left"/>
        <w:rPr/>
      </w:pPr>
      <w:r>
        <w:rPr>
          <w:rStyle w:val="SourceText"/>
        </w:rPr>
        <w:t>MUST</w:t>
      </w:r>
      <w:r>
        <w:rPr/>
        <w:t xml:space="preserve"> expose public verification material </w:t>
      </w:r>
    </w:p>
    <w:p>
      <w:pPr>
        <w:pStyle w:val="BodyText"/>
        <w:numPr>
          <w:ilvl w:val="0"/>
          <w:numId w:val="84"/>
        </w:numPr>
        <w:tabs>
          <w:tab w:val="clear" w:pos="1134"/>
          <w:tab w:val="left" w:pos="709" w:leader="none"/>
        </w:tabs>
        <w:bidi w:val="0"/>
        <w:spacing w:before="0" w:after="0"/>
        <w:ind w:hanging="283" w:left="709"/>
        <w:jc w:val="left"/>
        <w:rPr/>
      </w:pPr>
      <w:r>
        <w:rPr>
          <w:rStyle w:val="SourceText"/>
        </w:rPr>
        <w:t>MUST</w:t>
      </w:r>
      <w:r>
        <w:rPr/>
        <w:t xml:space="preserve"> support public revocation and status checks </w:t>
      </w:r>
    </w:p>
    <w:p>
      <w:pPr>
        <w:pStyle w:val="BodyText"/>
        <w:numPr>
          <w:ilvl w:val="0"/>
          <w:numId w:val="84"/>
        </w:numPr>
        <w:tabs>
          <w:tab w:val="clear" w:pos="1134"/>
          <w:tab w:val="left" w:pos="709" w:leader="none"/>
        </w:tabs>
        <w:bidi w:val="0"/>
        <w:spacing w:before="0" w:after="0"/>
        <w:ind w:hanging="283" w:left="709"/>
        <w:jc w:val="left"/>
        <w:rPr/>
      </w:pPr>
      <w:r>
        <w:rPr>
          <w:rStyle w:val="SourceText"/>
        </w:rPr>
        <w:t>MUST</w:t>
      </w:r>
      <w:r>
        <w:rPr/>
        <w:t xml:space="preserve"> support governed private-to-public boundary mappings without disclosing private aliases </w:t>
      </w:r>
    </w:p>
    <w:p>
      <w:pPr>
        <w:pStyle w:val="BodyText"/>
        <w:numPr>
          <w:ilvl w:val="0"/>
          <w:numId w:val="84"/>
        </w:numPr>
        <w:tabs>
          <w:tab w:val="clear" w:pos="1134"/>
          <w:tab w:val="left" w:pos="709" w:leader="none"/>
        </w:tabs>
        <w:bidi w:val="0"/>
        <w:spacing w:before="0" w:after="0"/>
        <w:ind w:hanging="283" w:left="709"/>
        <w:jc w:val="left"/>
        <w:rPr/>
      </w:pPr>
      <w:r>
        <w:rPr>
          <w:rStyle w:val="SourceText"/>
        </w:rPr>
        <w:t>MUST</w:t>
      </w:r>
      <w:r>
        <w:rPr/>
        <w:t xml:space="preserve"> provide public-facing badge and assurance disclosures appropriate to relying-party trust </w:t>
      </w:r>
    </w:p>
    <w:p>
      <w:pPr>
        <w:pStyle w:val="BodyText"/>
        <w:numPr>
          <w:ilvl w:val="0"/>
          <w:numId w:val="84"/>
        </w:numPr>
        <w:tabs>
          <w:tab w:val="clear" w:pos="1134"/>
          <w:tab w:val="left" w:pos="709" w:leader="none"/>
        </w:tabs>
        <w:bidi w:val="0"/>
        <w:spacing w:before="0" w:after="0"/>
        <w:ind w:hanging="283" w:left="709"/>
        <w:jc w:val="left"/>
        <w:rPr/>
      </w:pPr>
      <w:r>
        <w:rPr>
          <w:rStyle w:val="SourceText"/>
        </w:rPr>
        <w:t>SHOULD</w:t>
      </w:r>
      <w:r>
        <w:rPr/>
        <w:t xml:space="preserve"> support certificate-backed identity binding for public endpoints and organizational ownership </w:t>
      </w:r>
    </w:p>
    <w:p>
      <w:pPr>
        <w:pStyle w:val="BodyText"/>
        <w:numPr>
          <w:ilvl w:val="0"/>
          <w:numId w:val="84"/>
        </w:numPr>
        <w:tabs>
          <w:tab w:val="clear" w:pos="1134"/>
          <w:tab w:val="left" w:pos="709" w:leader="none"/>
        </w:tabs>
        <w:bidi w:val="0"/>
        <w:ind w:hanging="283" w:left="709"/>
        <w:jc w:val="left"/>
        <w:rPr/>
      </w:pPr>
      <w:r>
        <w:rPr>
          <w:rStyle w:val="SourceText"/>
        </w:rPr>
        <w:t>SHOULD</w:t>
      </w:r>
      <w:r>
        <w:rPr/>
        <w:t xml:space="preserve"> support hybrid verification in which domain or certificate control, issuer status, and optional decentralized portability can coexist without fragmenting the canonical subject identity </w:t>
      </w:r>
    </w:p>
    <w:p>
      <w:pPr>
        <w:pStyle w:val="BodyText"/>
        <w:bidi w:val="0"/>
        <w:jc w:val="left"/>
        <w:rPr/>
      </w:pPr>
      <w:r>
        <w:rPr/>
        <w:t xml:space="preserve">Implementations claiming any </w:t>
      </w:r>
      <w:r>
        <w:rPr>
          <w:rStyle w:val="SourceText"/>
        </w:rPr>
        <w:t>GAID</w:t>
      </w:r>
      <w:r>
        <w:rPr/>
        <w:t xml:space="preserve"> profile </w:t>
      </w:r>
      <w:r>
        <w:rPr>
          <w:rStyle w:val="SourceText"/>
        </w:rPr>
        <w:t>SHOULD</w:t>
      </w:r>
      <w:r>
        <w:rPr/>
        <w:t xml:space="preserve"> publish an assertion mapping, evidence pack, or equivalent rubric such as the companion </w:t>
      </w:r>
      <w:r>
        <w:rPr>
          <w:rStyle w:val="SourceText"/>
        </w:rPr>
        <w:t>gaid-conformance-tests.md</w:t>
      </w:r>
      <w:r>
        <w:rPr/>
        <w:t xml:space="preserve"> document.</w:t>
      </w:r>
    </w:p>
    <w:p>
      <w:pPr>
        <w:pStyle w:val="Heading2"/>
        <w:bidi w:val="0"/>
        <w:jc w:val="left"/>
        <w:rPr/>
      </w:pPr>
      <w:r>
        <w:rPr/>
        <w:t>14. Informative Annexes</w:t>
      </w:r>
    </w:p>
    <w:p>
      <w:pPr>
        <w:pStyle w:val="Heading3"/>
        <w:bidi w:val="0"/>
        <w:jc w:val="left"/>
        <w:rPr/>
      </w:pPr>
      <w:r>
        <w:rPr/>
        <w:t>Annex A: Relationship to TAK and TAK-JSI</w:t>
      </w:r>
    </w:p>
    <w:p>
      <w:pPr>
        <w:pStyle w:val="BodyText"/>
        <w:bidi w:val="0"/>
        <w:jc w:val="left"/>
        <w:rPr/>
      </w:pPr>
      <w:r>
        <w:rPr>
          <w:rStyle w:val="SourceText"/>
        </w:rPr>
        <w:t>GAID</w:t>
      </w:r>
      <w:r>
        <w:rPr/>
        <w:t xml:space="preserve">, </w:t>
      </w:r>
      <w:r>
        <w:rPr>
          <w:rStyle w:val="SourceText"/>
        </w:rPr>
        <w:t>TAK-JSI</w:t>
      </w:r>
      <w:r>
        <w:rPr/>
        <w:t xml:space="preserve">, and </w:t>
      </w:r>
      <w:r>
        <w:rPr>
          <w:rStyle w:val="SourceText"/>
        </w:rPr>
        <w:t>TAK</w:t>
      </w:r>
      <w:r>
        <w:rPr/>
        <w:t xml:space="preserve"> solve different but related problems:</w:t>
      </w:r>
    </w:p>
    <w:p>
      <w:pPr>
        <w:pStyle w:val="BodyText"/>
        <w:numPr>
          <w:ilvl w:val="0"/>
          <w:numId w:val="85"/>
        </w:numPr>
        <w:tabs>
          <w:tab w:val="clear" w:pos="1134"/>
          <w:tab w:val="left" w:pos="709" w:leader="none"/>
        </w:tabs>
        <w:bidi w:val="0"/>
        <w:spacing w:before="0" w:after="0"/>
        <w:ind w:hanging="283" w:left="709"/>
        <w:jc w:val="left"/>
        <w:rPr/>
      </w:pPr>
      <w:r>
        <w:rPr>
          <w:rStyle w:val="SourceText"/>
        </w:rPr>
        <w:t>GAID</w:t>
      </w:r>
      <w:r>
        <w:rPr/>
        <w:t xml:space="preserve"> identifies the agent, its claims, and its evidence </w:t>
      </w:r>
    </w:p>
    <w:p>
      <w:pPr>
        <w:pStyle w:val="BodyText"/>
        <w:numPr>
          <w:ilvl w:val="0"/>
          <w:numId w:val="85"/>
        </w:numPr>
        <w:tabs>
          <w:tab w:val="clear" w:pos="1134"/>
          <w:tab w:val="left" w:pos="709" w:leader="none"/>
        </w:tabs>
        <w:bidi w:val="0"/>
        <w:spacing w:before="0" w:after="0"/>
        <w:ind w:hanging="283" w:left="709"/>
        <w:jc w:val="left"/>
        <w:rPr/>
      </w:pPr>
      <w:r>
        <w:rPr>
          <w:rStyle w:val="SourceText"/>
        </w:rPr>
        <w:t>TAK-JSI</w:t>
      </w:r>
      <w:r>
        <w:rPr/>
        <w:t xml:space="preserve"> qualifies a versioned operating profile for a declared job and context </w:t>
      </w:r>
    </w:p>
    <w:p>
      <w:pPr>
        <w:pStyle w:val="BodyText"/>
        <w:numPr>
          <w:ilvl w:val="0"/>
          <w:numId w:val="85"/>
        </w:numPr>
        <w:tabs>
          <w:tab w:val="clear" w:pos="1134"/>
          <w:tab w:val="left" w:pos="709" w:leader="none"/>
        </w:tabs>
        <w:bidi w:val="0"/>
        <w:ind w:hanging="283" w:left="709"/>
        <w:jc w:val="left"/>
        <w:rPr/>
      </w:pPr>
      <w:r>
        <w:rPr>
          <w:rStyle w:val="SourceText"/>
        </w:rPr>
        <w:t>TAK</w:t>
      </w:r>
      <w:r>
        <w:rPr/>
        <w:t xml:space="preserve"> governs the runtime in which that agent acts </w:t>
      </w:r>
    </w:p>
    <w:p>
      <w:pPr>
        <w:pStyle w:val="BodyText"/>
        <w:bidi w:val="0"/>
        <w:jc w:val="left"/>
        <w:rPr/>
      </w:pPr>
      <w:r>
        <w:rPr/>
        <w:t xml:space="preserve">An implementation with </w:t>
      </w:r>
      <w:r>
        <w:rPr>
          <w:rStyle w:val="SourceText"/>
        </w:rPr>
        <w:t>TAK</w:t>
      </w:r>
      <w:r>
        <w:rPr/>
        <w:t xml:space="preserve"> but no </w:t>
      </w:r>
      <w:r>
        <w:rPr>
          <w:rStyle w:val="SourceText"/>
        </w:rPr>
        <w:t>GAID</w:t>
      </w:r>
      <w:r>
        <w:rPr/>
        <w:t xml:space="preserve"> may be locally well governed but externally opaque.</w:t>
      </w:r>
    </w:p>
    <w:p>
      <w:pPr>
        <w:pStyle w:val="BodyText"/>
        <w:bidi w:val="0"/>
        <w:jc w:val="left"/>
        <w:rPr/>
      </w:pPr>
      <w:r>
        <w:rPr/>
        <w:t xml:space="preserve">An implementation with </w:t>
      </w:r>
      <w:r>
        <w:rPr>
          <w:rStyle w:val="SourceText"/>
        </w:rPr>
        <w:t>GAID</w:t>
      </w:r>
      <w:r>
        <w:rPr/>
        <w:t xml:space="preserve"> but no </w:t>
      </w:r>
      <w:r>
        <w:rPr>
          <w:rStyle w:val="SourceText"/>
        </w:rPr>
        <w:t>TAK</w:t>
      </w:r>
      <w:r>
        <w:rPr/>
        <w:t xml:space="preserve"> may be well labeled but behaviorally under-governed.</w:t>
      </w:r>
    </w:p>
    <w:p>
      <w:pPr>
        <w:pStyle w:val="BodyText"/>
        <w:bidi w:val="0"/>
        <w:jc w:val="left"/>
        <w:rPr/>
      </w:pPr>
      <w:r>
        <w:rPr/>
        <w:t xml:space="preserve">An implementation with identity and runtime governance but no </w:t>
      </w:r>
      <w:r>
        <w:rPr>
          <w:rStyle w:val="SourceText"/>
        </w:rPr>
        <w:t>TAK-JSI</w:t>
      </w:r>
      <w:r>
        <w:rPr/>
        <w:t xml:space="preserve"> may be capable yet unable to substantiate that its operating profile is fit for a particular job.</w:t>
      </w:r>
    </w:p>
    <w:p>
      <w:pPr>
        <w:pStyle w:val="BodyText"/>
        <w:bidi w:val="0"/>
        <w:jc w:val="left"/>
        <w:rPr/>
      </w:pPr>
      <w:r>
        <w:rPr/>
        <w:t xml:space="preserve">The standards are therefore complementary. The canonical ownership map is </w:t>
      </w:r>
      <w:hyperlink r:id="rId69">
        <w:r>
          <w:rPr>
            <w:rStyle w:val="Hyperlink"/>
          </w:rPr>
          <w:t>agent-standards-family.md</w:t>
        </w:r>
      </w:hyperlink>
      <w:r>
        <w:rPr/>
        <w:t>.</w:t>
      </w:r>
    </w:p>
    <w:p>
      <w:pPr>
        <w:pStyle w:val="Heading3"/>
        <w:bidi w:val="0"/>
        <w:jc w:val="left"/>
        <w:rPr/>
      </w:pPr>
      <w:r>
        <w:rPr/>
        <w:t>Annex B: Suggested AIDoc Skeleton</w:t>
      </w:r>
    </w:p>
    <w:p>
      <w:pPr>
        <w:pStyle w:val="PreformattedText"/>
        <w:bidi w:val="0"/>
        <w:jc w:val="left"/>
        <w:rPr/>
      </w:pPr>
      <w:r>
        <w:rPr>
          <w:rStyle w:val="SourceText"/>
        </w:rPr>
        <w:t>{</w:t>
      </w:r>
    </w:p>
    <w:p>
      <w:pPr>
        <w:pStyle w:val="PreformattedText"/>
        <w:bidi w:val="0"/>
        <w:jc w:val="left"/>
        <w:rPr/>
      </w:pPr>
      <w:r>
        <w:rPr>
          <w:rStyle w:val="SourceText"/>
        </w:rPr>
        <w:t xml:space="preserve">  </w:t>
      </w:r>
      <w:r>
        <w:rPr>
          <w:rStyle w:val="SourceText"/>
        </w:rPr>
        <w:t>"gaid": "gaid:pub:example.ai:claims-review-agent",</w:t>
      </w:r>
    </w:p>
    <w:p>
      <w:pPr>
        <w:pStyle w:val="PreformattedText"/>
        <w:bidi w:val="0"/>
        <w:jc w:val="left"/>
        <w:rPr/>
      </w:pPr>
      <w:r>
        <w:rPr>
          <w:rStyle w:val="SourceText"/>
        </w:rPr>
        <w:t xml:space="preserve">  </w:t>
      </w:r>
      <w:r>
        <w:rPr>
          <w:rStyle w:val="SourceText"/>
        </w:rPr>
        <w:t>"subject_name": "Claims Review Agent",</w:t>
      </w:r>
    </w:p>
    <w:p>
      <w:pPr>
        <w:pStyle w:val="PreformattedText"/>
        <w:bidi w:val="0"/>
        <w:jc w:val="left"/>
        <w:rPr/>
      </w:pPr>
      <w:r>
        <w:rPr>
          <w:rStyle w:val="SourceText"/>
        </w:rPr>
        <w:t xml:space="preserve">  </w:t>
      </w:r>
      <w:r>
        <w:rPr>
          <w:rStyle w:val="SourceText"/>
        </w:rPr>
        <w:t>"issuer": {</w:t>
      </w:r>
    </w:p>
    <w:p>
      <w:pPr>
        <w:pStyle w:val="PreformattedText"/>
        <w:bidi w:val="0"/>
        <w:jc w:val="left"/>
        <w:rPr/>
      </w:pPr>
      <w:r>
        <w:rPr>
          <w:rStyle w:val="SourceText"/>
        </w:rPr>
        <w:t xml:space="preserve">    </w:t>
      </w:r>
      <w:r>
        <w:rPr>
          <w:rStyle w:val="SourceText"/>
        </w:rPr>
        <w:t>"name": "Example AI Public Issuer",</w:t>
      </w:r>
    </w:p>
    <w:p>
      <w:pPr>
        <w:pStyle w:val="PreformattedText"/>
        <w:bidi w:val="0"/>
        <w:jc w:val="left"/>
        <w:rPr/>
      </w:pPr>
      <w:r>
        <w:rPr>
          <w:rStyle w:val="SourceText"/>
        </w:rPr>
        <w:t xml:space="preserve">    </w:t>
      </w:r>
      <w:r>
        <w:rPr>
          <w:rStyle w:val="SourceText"/>
        </w:rPr>
        <w:t>"prefix": "example.ai"</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"status": "active",</w:t>
      </w:r>
    </w:p>
    <w:p>
      <w:pPr>
        <w:pStyle w:val="PreformattedText"/>
        <w:bidi w:val="0"/>
        <w:jc w:val="left"/>
        <w:rPr/>
      </w:pPr>
      <w:r>
        <w:rPr>
          <w:rStyle w:val="SourceText"/>
        </w:rPr>
        <w:t xml:space="preserve">  </w:t>
      </w:r>
      <w:r>
        <w:rPr>
          <w:rStyle w:val="SourceText"/>
        </w:rPr>
        <w:t>"subject_type": "specialist",</w:t>
      </w:r>
    </w:p>
    <w:p>
      <w:pPr>
        <w:pStyle w:val="PreformattedText"/>
        <w:bidi w:val="0"/>
        <w:jc w:val="left"/>
        <w:rPr/>
      </w:pPr>
      <w:r>
        <w:rPr>
          <w:rStyle w:val="SourceText"/>
        </w:rPr>
        <w:t xml:space="preserve">  </w:t>
      </w:r>
      <w:r>
        <w:rPr>
          <w:rStyle w:val="SourceText"/>
        </w:rPr>
        <w:t>"owner_organization": "Example Insurance Group",</w:t>
      </w:r>
    </w:p>
    <w:p>
      <w:pPr>
        <w:pStyle w:val="PreformattedText"/>
        <w:bidi w:val="0"/>
        <w:jc w:val="left"/>
        <w:rPr/>
      </w:pPr>
      <w:r>
        <w:rPr>
          <w:rStyle w:val="SourceText"/>
        </w:rPr>
        <w:t xml:space="preserve">  </w:t>
      </w:r>
      <w:r>
        <w:rPr>
          <w:rStyle w:val="SourceText"/>
        </w:rPr>
        <w:t>"versioning": {</w:t>
      </w:r>
    </w:p>
    <w:p>
      <w:pPr>
        <w:pStyle w:val="PreformattedText"/>
        <w:bidi w:val="0"/>
        <w:jc w:val="left"/>
        <w:rPr/>
      </w:pPr>
      <w:r>
        <w:rPr>
          <w:rStyle w:val="SourceText"/>
        </w:rPr>
        <w:t xml:space="preserve">    </w:t>
      </w:r>
      <w:r>
        <w:rPr>
          <w:rStyle w:val="SourceText"/>
        </w:rPr>
        <w:t>"agent_release": "2026.04.3"</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"owner_of_record": {</w:t>
      </w:r>
    </w:p>
    <w:p>
      <w:pPr>
        <w:pStyle w:val="PreformattedText"/>
        <w:bidi w:val="0"/>
        <w:jc w:val="left"/>
        <w:rPr/>
      </w:pPr>
      <w:r>
        <w:rPr>
          <w:rStyle w:val="SourceText"/>
        </w:rPr>
        <w:t xml:space="preserve">    </w:t>
      </w:r>
      <w:r>
        <w:rPr>
          <w:rStyle w:val="SourceText"/>
        </w:rPr>
        <w:t>"type": "person",</w:t>
      </w:r>
    </w:p>
    <w:p>
      <w:pPr>
        <w:pStyle w:val="PreformattedText"/>
        <w:bidi w:val="0"/>
        <w:jc w:val="left"/>
        <w:rPr/>
      </w:pPr>
      <w:r>
        <w:rPr>
          <w:rStyle w:val="SourceText"/>
        </w:rPr>
        <w:t xml:space="preserve">    </w:t>
      </w:r>
      <w:r>
        <w:rPr>
          <w:rStyle w:val="SourceText"/>
        </w:rPr>
        <w:t>"display_name": "Director of Claims Operations"</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"responsible_team": "Claims Automation Team",</w:t>
      </w:r>
    </w:p>
    <w:p>
      <w:pPr>
        <w:pStyle w:val="PreformattedText"/>
        <w:bidi w:val="0"/>
        <w:jc w:val="left"/>
        <w:rPr/>
      </w:pPr>
      <w:r>
        <w:rPr>
          <w:rStyle w:val="SourceText"/>
        </w:rPr>
        <w:t xml:space="preserve">  </w:t>
      </w:r>
      <w:r>
        <w:rPr>
          <w:rStyle w:val="SourceText"/>
        </w:rPr>
        <w:t>"controlling_humans": [</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"role": "sponsor",</w:t>
      </w:r>
    </w:p>
    <w:p>
      <w:pPr>
        <w:pStyle w:val="PreformattedText"/>
        <w:bidi w:val="0"/>
        <w:jc w:val="left"/>
        <w:rPr/>
      </w:pPr>
      <w:r>
        <w:rPr>
          <w:rStyle w:val="SourceText"/>
        </w:rPr>
        <w:t xml:space="preserve">      </w:t>
      </w:r>
      <w:r>
        <w:rPr>
          <w:rStyle w:val="SourceText"/>
        </w:rPr>
        <w:t>"display_name": "Director of Claims Operations"</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"role": "approval_authority",</w:t>
      </w:r>
    </w:p>
    <w:p>
      <w:pPr>
        <w:pStyle w:val="PreformattedText"/>
        <w:bidi w:val="0"/>
        <w:jc w:val="left"/>
        <w:rPr/>
      </w:pPr>
      <w:r>
        <w:rPr>
          <w:rStyle w:val="SourceText"/>
        </w:rPr>
        <w:t xml:space="preserve">      </w:t>
      </w:r>
      <w:r>
        <w:rPr>
          <w:rStyle w:val="SourceText"/>
        </w:rPr>
        <w:t>"display_name": "Claims Governance Board"</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"directory_bindings": [</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"system": "entra",</w:t>
      </w:r>
    </w:p>
    <w:p>
      <w:pPr>
        <w:pStyle w:val="PreformattedText"/>
        <w:bidi w:val="0"/>
        <w:jc w:val="left"/>
        <w:rPr/>
      </w:pPr>
      <w:r>
        <w:rPr>
          <w:rStyle w:val="SourceText"/>
        </w:rPr>
        <w:t xml:space="preserve">      </w:t>
      </w:r>
      <w:r>
        <w:rPr>
          <w:rStyle w:val="SourceText"/>
        </w:rPr>
        <w:t>"tenant_ref": "contoso-tenant",</w:t>
      </w:r>
    </w:p>
    <w:p>
      <w:pPr>
        <w:pStyle w:val="PreformattedText"/>
        <w:bidi w:val="0"/>
        <w:jc w:val="left"/>
        <w:rPr/>
      </w:pPr>
      <w:r>
        <w:rPr>
          <w:rStyle w:val="SourceText"/>
        </w:rPr>
        <w:t xml:space="preserve">      </w:t>
      </w:r>
      <w:r>
        <w:rPr>
          <w:rStyle w:val="SourceText"/>
        </w:rPr>
        <w:t>"subject_ref": "11111111-2222-3333-4444-555555555555"</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"model_binding": {</w:t>
      </w:r>
    </w:p>
    <w:p>
      <w:pPr>
        <w:pStyle w:val="PreformattedText"/>
        <w:bidi w:val="0"/>
        <w:jc w:val="left"/>
        <w:rPr/>
      </w:pPr>
      <w:r>
        <w:rPr>
          <w:rStyle w:val="SourceText"/>
        </w:rPr>
        <w:t xml:space="preserve">    </w:t>
      </w:r>
      <w:r>
        <w:rPr>
          <w:rStyle w:val="SourceText"/>
        </w:rPr>
        <w:t>"provider": "example-provider",</w:t>
      </w:r>
    </w:p>
    <w:p>
      <w:pPr>
        <w:pStyle w:val="PreformattedText"/>
        <w:bidi w:val="0"/>
        <w:jc w:val="left"/>
        <w:rPr/>
      </w:pPr>
      <w:r>
        <w:rPr>
          <w:rStyle w:val="SourceText"/>
        </w:rPr>
        <w:t xml:space="preserve">    </w:t>
      </w:r>
      <w:r>
        <w:rPr>
          <w:rStyle w:val="SourceText"/>
        </w:rPr>
        <w:t>"model_family": "frontier-assistant",</w:t>
      </w:r>
    </w:p>
    <w:p>
      <w:pPr>
        <w:pStyle w:val="PreformattedText"/>
        <w:bidi w:val="0"/>
        <w:jc w:val="left"/>
        <w:rPr/>
      </w:pPr>
      <w:r>
        <w:rPr>
          <w:rStyle w:val="SourceText"/>
        </w:rPr>
        <w:t xml:space="preserve">    </w:t>
      </w:r>
      <w:r>
        <w:rPr>
          <w:rStyle w:val="SourceText"/>
        </w:rPr>
        <w:t>"model_version": "2026-04"</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"operating_profile_fingerprint": "sha256:3d034b7f46c7b3b4adf8d2f6e7027fe4967963f4b7091d988b41b0d4fcf25e8b",</w:t>
      </w:r>
    </w:p>
    <w:p>
      <w:pPr>
        <w:pStyle w:val="PreformattedText"/>
        <w:bidi w:val="0"/>
        <w:jc w:val="left"/>
        <w:rPr/>
      </w:pPr>
      <w:r>
        <w:rPr>
          <w:rStyle w:val="SourceText"/>
        </w:rPr>
        <w:t xml:space="preserve">  </w:t>
      </w:r>
      <w:r>
        <w:rPr>
          <w:rStyle w:val="SourceText"/>
        </w:rPr>
        <w:t>"tool_surface": [</w:t>
      </w:r>
    </w:p>
    <w:p>
      <w:pPr>
        <w:pStyle w:val="PreformattedText"/>
        <w:bidi w:val="0"/>
        <w:jc w:val="left"/>
        <w:rPr/>
      </w:pPr>
      <w:r>
        <w:rPr>
          <w:rStyle w:val="SourceText"/>
        </w:rPr>
        <w:t xml:space="preserve">    </w:t>
      </w:r>
      <w:r>
        <w:rPr>
          <w:rStyle w:val="SourceText"/>
        </w:rPr>
        <w:t>"claims.lookup",</w:t>
      </w:r>
    </w:p>
    <w:p>
      <w:pPr>
        <w:pStyle w:val="PreformattedText"/>
        <w:bidi w:val="0"/>
        <w:jc w:val="left"/>
        <w:rPr/>
      </w:pPr>
      <w:r>
        <w:rPr>
          <w:rStyle w:val="SourceText"/>
        </w:rPr>
        <w:t xml:space="preserve">    </w:t>
      </w:r>
      <w:r>
        <w:rPr>
          <w:rStyle w:val="SourceText"/>
        </w:rPr>
        <w:t>"policy.lookup",</w:t>
      </w:r>
    </w:p>
    <w:p>
      <w:pPr>
        <w:pStyle w:val="PreformattedText"/>
        <w:bidi w:val="0"/>
        <w:jc w:val="left"/>
        <w:rPr/>
      </w:pPr>
      <w:r>
        <w:rPr>
          <w:rStyle w:val="SourceText"/>
        </w:rPr>
        <w:t xml:space="preserve">    </w:t>
      </w:r>
      <w:r>
        <w:rPr>
          <w:rStyle w:val="SourceText"/>
        </w:rPr>
        <w:t>"note.create"</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"entitlement_scope": [</w:t>
      </w:r>
    </w:p>
    <w:p>
      <w:pPr>
        <w:pStyle w:val="PreformattedText"/>
        <w:bidi w:val="0"/>
        <w:jc w:val="left"/>
        <w:rPr/>
      </w:pPr>
      <w:r>
        <w:rPr>
          <w:rStyle w:val="SourceText"/>
        </w:rPr>
        <w:t xml:space="preserve">    </w:t>
      </w:r>
      <w:r>
        <w:rPr>
          <w:rStyle w:val="SourceText"/>
        </w:rPr>
        <w:t>"claims_read",</w:t>
      </w:r>
    </w:p>
    <w:p>
      <w:pPr>
        <w:pStyle w:val="PreformattedText"/>
        <w:bidi w:val="0"/>
        <w:jc w:val="left"/>
        <w:rPr/>
      </w:pPr>
      <w:r>
        <w:rPr>
          <w:rStyle w:val="SourceText"/>
        </w:rPr>
        <w:t xml:space="preserve">    </w:t>
      </w:r>
      <w:r>
        <w:rPr>
          <w:rStyle w:val="SourceText"/>
        </w:rPr>
        <w:t>"policy_read",</w:t>
      </w:r>
    </w:p>
    <w:p>
      <w:pPr>
        <w:pStyle w:val="PreformattedText"/>
        <w:bidi w:val="0"/>
        <w:jc w:val="left"/>
        <w:rPr/>
      </w:pPr>
      <w:r>
        <w:rPr>
          <w:rStyle w:val="SourceText"/>
        </w:rPr>
        <w:t xml:space="preserve">    </w:t>
      </w:r>
      <w:r>
        <w:rPr>
          <w:rStyle w:val="SourceText"/>
        </w:rPr>
        <w:t>"case_note_create"</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"reachable_systems": [</w:t>
      </w:r>
    </w:p>
    <w:p>
      <w:pPr>
        <w:pStyle w:val="PreformattedText"/>
        <w:bidi w:val="0"/>
        <w:jc w:val="left"/>
        <w:rPr/>
      </w:pPr>
      <w:r>
        <w:rPr>
          <w:rStyle w:val="SourceText"/>
        </w:rPr>
        <w:t xml:space="preserve">    </w:t>
      </w:r>
      <w:r>
        <w:rPr>
          <w:rStyle w:val="SourceText"/>
        </w:rPr>
        <w:t>"claims-platform",</w:t>
      </w:r>
    </w:p>
    <w:p>
      <w:pPr>
        <w:pStyle w:val="PreformattedText"/>
        <w:bidi w:val="0"/>
        <w:jc w:val="left"/>
        <w:rPr/>
      </w:pPr>
      <w:r>
        <w:rPr>
          <w:rStyle w:val="SourceText"/>
        </w:rPr>
        <w:t xml:space="preserve">    </w:t>
      </w:r>
      <w:r>
        <w:rPr>
          <w:rStyle w:val="SourceText"/>
        </w:rPr>
        <w:t>"policy-system"</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"reachable_data_classes": [</w:t>
      </w:r>
    </w:p>
    <w:p>
      <w:pPr>
        <w:pStyle w:val="PreformattedText"/>
        <w:bidi w:val="0"/>
        <w:jc w:val="left"/>
        <w:rPr/>
      </w:pPr>
      <w:r>
        <w:rPr>
          <w:rStyle w:val="SourceText"/>
        </w:rPr>
        <w:t xml:space="preserve">    </w:t>
      </w:r>
      <w:r>
        <w:rPr>
          <w:rStyle w:val="SourceText"/>
        </w:rPr>
        <w:t>"internal-confidential",</w:t>
      </w:r>
    </w:p>
    <w:p>
      <w:pPr>
        <w:pStyle w:val="PreformattedText"/>
        <w:bidi w:val="0"/>
        <w:jc w:val="left"/>
        <w:rPr/>
      </w:pPr>
      <w:r>
        <w:rPr>
          <w:rStyle w:val="SourceText"/>
        </w:rPr>
        <w:t xml:space="preserve">    </w:t>
      </w:r>
      <w:r>
        <w:rPr>
          <w:rStyle w:val="SourceText"/>
        </w:rPr>
        <w:t>"customer-pii"</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"least_privilege_posture": "org-attested",</w:t>
      </w:r>
    </w:p>
    <w:p>
      <w:pPr>
        <w:pStyle w:val="PreformattedText"/>
        <w:bidi w:val="0"/>
        <w:jc w:val="left"/>
        <w:rPr/>
      </w:pPr>
      <w:r>
        <w:rPr>
          <w:rStyle w:val="SourceText"/>
        </w:rPr>
        <w:t xml:space="preserve">  </w:t>
      </w:r>
      <w:r>
        <w:rPr>
          <w:rStyle w:val="SourceText"/>
        </w:rPr>
        <w:t>"blast_radius_profile": {</w:t>
      </w:r>
    </w:p>
    <w:p>
      <w:pPr>
        <w:pStyle w:val="PreformattedText"/>
        <w:bidi w:val="0"/>
        <w:jc w:val="left"/>
        <w:rPr/>
      </w:pPr>
      <w:r>
        <w:rPr>
          <w:rStyle w:val="SourceText"/>
        </w:rPr>
        <w:t xml:space="preserve">    </w:t>
      </w:r>
      <w:r>
        <w:rPr>
          <w:rStyle w:val="SourceText"/>
        </w:rPr>
        <w:t>"system_impact": "bounded",</w:t>
      </w:r>
    </w:p>
    <w:p>
      <w:pPr>
        <w:pStyle w:val="PreformattedText"/>
        <w:bidi w:val="0"/>
        <w:jc w:val="left"/>
        <w:rPr/>
      </w:pPr>
      <w:r>
        <w:rPr>
          <w:rStyle w:val="SourceText"/>
        </w:rPr>
        <w:t xml:space="preserve">    </w:t>
      </w:r>
      <w:r>
        <w:rPr>
          <w:rStyle w:val="SourceText"/>
        </w:rPr>
        <w:t>"data_impact": "moderate",</w:t>
      </w:r>
    </w:p>
    <w:p>
      <w:pPr>
        <w:pStyle w:val="PreformattedText"/>
        <w:bidi w:val="0"/>
        <w:jc w:val="left"/>
        <w:rPr/>
      </w:pPr>
      <w:r>
        <w:rPr>
          <w:rStyle w:val="SourceText"/>
        </w:rPr>
        <w:t xml:space="preserve">    </w:t>
      </w:r>
      <w:r>
        <w:rPr>
          <w:rStyle w:val="SourceText"/>
        </w:rPr>
        <w:t>"requires_hitl_for_side_effects": true</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"mcp_surfaces": [</w:t>
      </w:r>
    </w:p>
    <w:p>
      <w:pPr>
        <w:pStyle w:val="PreformattedText"/>
        <w:bidi w:val="0"/>
        <w:jc w:val="left"/>
        <w:rPr/>
      </w:pPr>
      <w:r>
        <w:rPr>
          <w:rStyle w:val="SourceText"/>
        </w:rPr>
        <w:t xml:space="preserve">    </w:t>
      </w:r>
      <w:r>
        <w:rPr>
          <w:rStyle w:val="SourceText"/>
        </w:rPr>
        <w:t>"claims-tools-server"</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"a2a_surfaces": [</w:t>
      </w:r>
    </w:p>
    <w:p>
      <w:pPr>
        <w:pStyle w:val="PreformattedText"/>
        <w:bidi w:val="0"/>
        <w:jc w:val="left"/>
        <w:rPr/>
      </w:pPr>
      <w:r>
        <w:rPr>
          <w:rStyle w:val="SourceText"/>
        </w:rPr>
        <w:t xml:space="preserve">    </w:t>
      </w:r>
      <w:r>
        <w:rPr>
          <w:rStyle w:val="SourceText"/>
        </w:rPr>
        <w:t>"https://agents.example.ai/cards/claims-review-agent"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"authorization_classes": [</w:t>
      </w:r>
    </w:p>
    <w:p>
      <w:pPr>
        <w:pStyle w:val="PreformattedText"/>
        <w:bidi w:val="0"/>
        <w:jc w:val="left"/>
        <w:rPr/>
      </w:pPr>
      <w:r>
        <w:rPr>
          <w:rStyle w:val="SourceText"/>
        </w:rPr>
        <w:t xml:space="preserve">    </w:t>
      </w:r>
      <w:r>
        <w:rPr>
          <w:rStyle w:val="SourceText"/>
        </w:rPr>
        <w:t>"observe",</w:t>
      </w:r>
    </w:p>
    <w:p>
      <w:pPr>
        <w:pStyle w:val="PreformattedText"/>
        <w:bidi w:val="0"/>
        <w:jc w:val="left"/>
        <w:rPr/>
      </w:pPr>
      <w:r>
        <w:rPr>
          <w:rStyle w:val="SourceText"/>
        </w:rPr>
        <w:t xml:space="preserve">    </w:t>
      </w:r>
      <w:r>
        <w:rPr>
          <w:rStyle w:val="SourceText"/>
        </w:rPr>
        <w:t>"analyze",</w:t>
      </w:r>
    </w:p>
    <w:p>
      <w:pPr>
        <w:pStyle w:val="PreformattedText"/>
        <w:bidi w:val="0"/>
        <w:jc w:val="left"/>
        <w:rPr/>
      </w:pPr>
      <w:r>
        <w:rPr>
          <w:rStyle w:val="SourceText"/>
        </w:rPr>
        <w:t xml:space="preserve">    </w:t>
      </w:r>
      <w:r>
        <w:rPr>
          <w:rStyle w:val="SourceText"/>
        </w:rPr>
        <w:t>"create"</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"badges": [</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"badge_id": "badge-fit-claims-triage-v3",</w:t>
      </w:r>
    </w:p>
    <w:p>
      <w:pPr>
        <w:pStyle w:val="PreformattedText"/>
        <w:bidi w:val="0"/>
        <w:jc w:val="left"/>
        <w:rPr/>
      </w:pPr>
      <w:r>
        <w:rPr>
          <w:rStyle w:val="SourceText"/>
        </w:rPr>
        <w:t xml:space="preserve">      </w:t>
      </w:r>
      <w:r>
        <w:rPr>
          <w:rStyle w:val="SourceText"/>
        </w:rPr>
        <w:t>"category": "fit-for-purpose",</w:t>
      </w:r>
    </w:p>
    <w:p>
      <w:pPr>
        <w:pStyle w:val="PreformattedText"/>
        <w:bidi w:val="0"/>
        <w:jc w:val="left"/>
        <w:rPr/>
      </w:pPr>
      <w:r>
        <w:rPr>
          <w:rStyle w:val="SourceText"/>
        </w:rPr>
        <w:t xml:space="preserve">      </w:t>
      </w:r>
      <w:r>
        <w:rPr>
          <w:rStyle w:val="SourceText"/>
        </w:rPr>
        <w:t>"claim": "claims-triage-support",</w:t>
      </w:r>
    </w:p>
    <w:p>
      <w:pPr>
        <w:pStyle w:val="PreformattedText"/>
        <w:bidi w:val="0"/>
        <w:jc w:val="left"/>
        <w:rPr/>
      </w:pPr>
      <w:r>
        <w:rPr>
          <w:rStyle w:val="SourceText"/>
        </w:rPr>
        <w:t xml:space="preserve">      </w:t>
      </w:r>
      <w:r>
        <w:rPr>
          <w:rStyle w:val="SourceText"/>
        </w:rPr>
        <w:t>"assurance_level": "org-attested",</w:t>
      </w:r>
    </w:p>
    <w:p>
      <w:pPr>
        <w:pStyle w:val="PreformattedText"/>
        <w:bidi w:val="0"/>
        <w:jc w:val="left"/>
        <w:rPr/>
      </w:pPr>
      <w:r>
        <w:rPr>
          <w:rStyle w:val="SourceText"/>
        </w:rPr>
        <w:t xml:space="preserve">      </w:t>
      </w:r>
      <w:r>
        <w:rPr>
          <w:rStyle w:val="SourceText"/>
        </w:rPr>
        <w:t>"claim_scope": {</w:t>
      </w:r>
    </w:p>
    <w:p>
      <w:pPr>
        <w:pStyle w:val="PreformattedText"/>
        <w:bidi w:val="0"/>
        <w:jc w:val="left"/>
        <w:rPr/>
      </w:pPr>
      <w:r>
        <w:rPr>
          <w:rStyle w:val="SourceText"/>
        </w:rPr>
        <w:t xml:space="preserve">        </w:t>
      </w:r>
      <w:r>
        <w:rPr>
          <w:rStyle w:val="SourceText"/>
        </w:rPr>
        <w:t>"business_archetypes": [</w:t>
      </w:r>
    </w:p>
    <w:p>
      <w:pPr>
        <w:pStyle w:val="PreformattedText"/>
        <w:bidi w:val="0"/>
        <w:jc w:val="left"/>
        <w:rPr/>
      </w:pPr>
      <w:r>
        <w:rPr>
          <w:rStyle w:val="SourceText"/>
        </w:rPr>
        <w:t xml:space="preserve">          </w:t>
      </w:r>
      <w:r>
        <w:rPr>
          <w:rStyle w:val="SourceText"/>
        </w:rPr>
        <w:t>"insurance-claims"</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"workflow_classes": [</w:t>
      </w:r>
    </w:p>
    <w:p>
      <w:pPr>
        <w:pStyle w:val="PreformattedText"/>
        <w:bidi w:val="0"/>
        <w:jc w:val="left"/>
        <w:rPr/>
      </w:pPr>
      <w:r>
        <w:rPr>
          <w:rStyle w:val="SourceText"/>
        </w:rPr>
        <w:t xml:space="preserve">          </w:t>
      </w:r>
      <w:r>
        <w:rPr>
          <w:rStyle w:val="SourceText"/>
        </w:rPr>
        <w:t>"triage",</w:t>
      </w:r>
    </w:p>
    <w:p>
      <w:pPr>
        <w:pStyle w:val="PreformattedText"/>
        <w:bidi w:val="0"/>
        <w:jc w:val="left"/>
        <w:rPr/>
      </w:pPr>
      <w:r>
        <w:rPr>
          <w:rStyle w:val="SourceText"/>
        </w:rPr>
        <w:t xml:space="preserve">          </w:t>
      </w:r>
      <w:r>
        <w:rPr>
          <w:rStyle w:val="SourceText"/>
        </w:rPr>
        <w:t>"summarization"</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"data_classes": [</w:t>
      </w:r>
    </w:p>
    <w:p>
      <w:pPr>
        <w:pStyle w:val="PreformattedText"/>
        <w:bidi w:val="0"/>
        <w:jc w:val="left"/>
        <w:rPr/>
      </w:pPr>
      <w:r>
        <w:rPr>
          <w:rStyle w:val="SourceText"/>
        </w:rPr>
        <w:t xml:space="preserve">          </w:t>
      </w:r>
      <w:r>
        <w:rPr>
          <w:rStyle w:val="SourceText"/>
        </w:rPr>
        <w:t>"customer-pii"</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"required_hitl_tier": "approve-before-execution",</w:t>
      </w:r>
    </w:p>
    <w:p>
      <w:pPr>
        <w:pStyle w:val="PreformattedText"/>
        <w:bidi w:val="0"/>
        <w:jc w:val="left"/>
        <w:rPr/>
      </w:pPr>
      <w:r>
        <w:rPr>
          <w:rStyle w:val="SourceText"/>
        </w:rPr>
        <w:t xml:space="preserve">        </w:t>
      </w:r>
      <w:r>
        <w:rPr>
          <w:rStyle w:val="SourceText"/>
        </w:rPr>
        <w:t>"excluded_uses": [</w:t>
      </w:r>
    </w:p>
    <w:p>
      <w:pPr>
        <w:pStyle w:val="PreformattedText"/>
        <w:bidi w:val="0"/>
        <w:jc w:val="left"/>
        <w:rPr/>
      </w:pPr>
      <w:r>
        <w:rPr>
          <w:rStyle w:val="SourceText"/>
        </w:rPr>
        <w:t xml:space="preserve">          </w:t>
      </w:r>
      <w:r>
        <w:rPr>
          <w:rStyle w:val="SourceText"/>
        </w:rPr>
        <w:t>"claims-approval",</w:t>
      </w:r>
    </w:p>
    <w:p>
      <w:pPr>
        <w:pStyle w:val="PreformattedText"/>
        <w:bidi w:val="0"/>
        <w:jc w:val="left"/>
        <w:rPr/>
      </w:pPr>
      <w:r>
        <w:rPr>
          <w:rStyle w:val="SourceText"/>
        </w:rPr>
        <w:t xml:space="preserve">          </w:t>
      </w:r>
      <w:r>
        <w:rPr>
          <w:rStyle w:val="SourceText"/>
        </w:rPr>
        <w:t>"coverage-denial"</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"evidence_refs": [</w:t>
      </w:r>
    </w:p>
    <w:p>
      <w:pPr>
        <w:pStyle w:val="PreformattedText"/>
        <w:bidi w:val="0"/>
        <w:jc w:val="left"/>
        <w:rPr/>
      </w:pPr>
      <w:r>
        <w:rPr>
          <w:rStyle w:val="SourceText"/>
        </w:rPr>
        <w:t xml:space="preserve">        </w:t>
      </w:r>
      <w:r>
        <w:rPr>
          <w:rStyle w:val="SourceText"/>
        </w:rPr>
        <w:t>"https://issuer.example.ai/evidence/model-card/claims-review-agent",</w:t>
      </w:r>
    </w:p>
    <w:p>
      <w:pPr>
        <w:pStyle w:val="PreformattedText"/>
        <w:bidi w:val="0"/>
        <w:jc w:val="left"/>
        <w:rPr/>
      </w:pPr>
      <w:r>
        <w:rPr>
          <w:rStyle w:val="SourceText"/>
        </w:rPr>
        <w:t xml:space="preserve">        </w:t>
      </w:r>
      <w:r>
        <w:rPr>
          <w:rStyle w:val="SourceText"/>
        </w:rPr>
        <w:t>"https://issuer.example.ai/evidence/evaluations/claims-review-agent-v3"</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"evidence_refs": [</w:t>
      </w:r>
    </w:p>
    <w:p>
      <w:pPr>
        <w:pStyle w:val="PreformattedText"/>
        <w:bidi w:val="0"/>
        <w:jc w:val="left"/>
        <w:rPr/>
      </w:pPr>
      <w:r>
        <w:rPr>
          <w:rStyle w:val="SourceText"/>
        </w:rPr>
        <w:t xml:space="preserve">    </w:t>
      </w:r>
      <w:r>
        <w:rPr>
          <w:rStyle w:val="SourceText"/>
        </w:rPr>
        <w:t>"https://issuer.example.ai/evidence/policy/claims-review-agent",</w:t>
      </w:r>
    </w:p>
    <w:p>
      <w:pPr>
        <w:pStyle w:val="PreformattedText"/>
        <w:bidi w:val="0"/>
        <w:jc w:val="left"/>
        <w:rPr/>
      </w:pPr>
      <w:r>
        <w:rPr>
          <w:rStyle w:val="SourceText"/>
        </w:rPr>
        <w:t xml:space="preserve">    </w:t>
      </w:r>
      <w:r>
        <w:rPr>
          <w:rStyle w:val="SourceText"/>
        </w:rPr>
        <w:t>"https://issuer.example.ai/evidence/runtime-profile/claims-review-agent"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"verification_material": {</w:t>
      </w:r>
    </w:p>
    <w:p>
      <w:pPr>
        <w:pStyle w:val="PreformattedText"/>
        <w:bidi w:val="0"/>
        <w:jc w:val="left"/>
        <w:rPr/>
      </w:pPr>
      <w:r>
        <w:rPr>
          <w:rStyle w:val="SourceText"/>
        </w:rPr>
        <w:t xml:space="preserve">    </w:t>
      </w:r>
      <w:r>
        <w:rPr>
          <w:rStyle w:val="SourceText"/>
        </w:rPr>
        <w:t>"certificate_ref": "https://issuer.example.ai/certs/current"</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"status_endpoint": "https://issuer.example.ai/status/claims-review-agent",</w:t>
      </w:r>
    </w:p>
    <w:p>
      <w:pPr>
        <w:pStyle w:val="PreformattedText"/>
        <w:bidi w:val="0"/>
        <w:jc w:val="left"/>
        <w:rPr/>
      </w:pPr>
      <w:r>
        <w:rPr>
          <w:rStyle w:val="SourceText"/>
        </w:rPr>
        <w:t xml:space="preserve">  </w:t>
      </w:r>
      <w:r>
        <w:rPr>
          <w:rStyle w:val="SourceText"/>
        </w:rPr>
        <w:t>"transparency_log": "https://issuer.example.ai/log/claims-review-agent"</w:t>
      </w:r>
    </w:p>
    <w:p>
      <w:pPr>
        <w:pStyle w:val="PreformattedText"/>
        <w:bidi w:val="0"/>
        <w:spacing w:before="0" w:after="283"/>
        <w:jc w:val="left"/>
        <w:rPr/>
      </w:pPr>
      <w:r>
        <w:rPr>
          <w:rStyle w:val="SourceText"/>
        </w:rPr>
        <w:t>}</w:t>
      </w:r>
    </w:p>
    <w:p>
      <w:pPr>
        <w:pStyle w:val="Heading3"/>
        <w:bidi w:val="0"/>
        <w:jc w:val="left"/>
        <w:rPr/>
      </w:pPr>
      <w:r>
        <w:rPr/>
        <w:t>Annex C: Governance Implication</w:t>
      </w:r>
    </w:p>
    <w:p>
      <w:pPr>
        <w:pStyle w:val="BodyText"/>
        <w:bidi w:val="0"/>
        <w:jc w:val="left"/>
        <w:rPr/>
      </w:pPr>
      <w:r>
        <w:rPr/>
        <w:t xml:space="preserve">The strongest lesson from adjacent systems such as </w:t>
      </w:r>
      <w:r>
        <w:rPr>
          <w:rStyle w:val="SourceText"/>
        </w:rPr>
        <w:t>DNS</w:t>
      </w:r>
      <w:r>
        <w:rPr/>
        <w:t xml:space="preserve">, </w:t>
      </w:r>
      <w:r>
        <w:rPr>
          <w:rStyle w:val="SourceText"/>
        </w:rPr>
        <w:t>ISBN</w:t>
      </w:r>
      <w:r>
        <w:rPr/>
        <w:t xml:space="preserve">, </w:t>
      </w:r>
      <w:r>
        <w:rPr>
          <w:rStyle w:val="SourceText"/>
        </w:rPr>
        <w:t>PKI</w:t>
      </w:r>
      <w:r>
        <w:rPr/>
        <w:t>, and software provenance is that syntax alone is not enough.</w:t>
      </w:r>
    </w:p>
    <w:p>
      <w:pPr>
        <w:pStyle w:val="BodyText"/>
        <w:bidi w:val="0"/>
        <w:jc w:val="left"/>
        <w:rPr/>
      </w:pPr>
      <w:r>
        <w:rPr/>
        <w:t>Identity works at scale only when:</w:t>
      </w:r>
    </w:p>
    <w:p>
      <w:pPr>
        <w:pStyle w:val="BodyText"/>
        <w:numPr>
          <w:ilvl w:val="0"/>
          <w:numId w:val="86"/>
        </w:numPr>
        <w:tabs>
          <w:tab w:val="clear" w:pos="1134"/>
          <w:tab w:val="left" w:pos="709" w:leader="none"/>
        </w:tabs>
        <w:bidi w:val="0"/>
        <w:spacing w:before="0" w:after="0"/>
        <w:ind w:hanging="283" w:left="709"/>
        <w:jc w:val="left"/>
        <w:rPr/>
      </w:pPr>
      <w:r>
        <w:rPr/>
        <w:t xml:space="preserve">the namespace is governed </w:t>
      </w:r>
    </w:p>
    <w:p>
      <w:pPr>
        <w:pStyle w:val="BodyText"/>
        <w:numPr>
          <w:ilvl w:val="0"/>
          <w:numId w:val="86"/>
        </w:numPr>
        <w:tabs>
          <w:tab w:val="clear" w:pos="1134"/>
          <w:tab w:val="left" w:pos="709" w:leader="none"/>
        </w:tabs>
        <w:bidi w:val="0"/>
        <w:spacing w:before="0" w:after="0"/>
        <w:ind w:hanging="283" w:left="709"/>
        <w:jc w:val="left"/>
        <w:rPr/>
      </w:pPr>
      <w:r>
        <w:rPr/>
        <w:t xml:space="preserve">issuers are recognized </w:t>
      </w:r>
    </w:p>
    <w:p>
      <w:pPr>
        <w:pStyle w:val="BodyText"/>
        <w:numPr>
          <w:ilvl w:val="0"/>
          <w:numId w:val="86"/>
        </w:numPr>
        <w:tabs>
          <w:tab w:val="clear" w:pos="1134"/>
          <w:tab w:val="left" w:pos="709" w:leader="none"/>
        </w:tabs>
        <w:bidi w:val="0"/>
        <w:spacing w:before="0" w:after="0"/>
        <w:ind w:hanging="283" w:left="709"/>
        <w:jc w:val="left"/>
        <w:rPr/>
      </w:pPr>
      <w:r>
        <w:rPr/>
        <w:t xml:space="preserve">relying parties can validate claims </w:t>
      </w:r>
    </w:p>
    <w:p>
      <w:pPr>
        <w:pStyle w:val="BodyText"/>
        <w:numPr>
          <w:ilvl w:val="0"/>
          <w:numId w:val="86"/>
        </w:numPr>
        <w:tabs>
          <w:tab w:val="clear" w:pos="1134"/>
          <w:tab w:val="left" w:pos="709" w:leader="none"/>
        </w:tabs>
        <w:bidi w:val="0"/>
        <w:spacing w:before="0" w:after="0"/>
        <w:ind w:hanging="283" w:left="709"/>
        <w:jc w:val="left"/>
        <w:rPr/>
      </w:pPr>
      <w:r>
        <w:rPr/>
        <w:t xml:space="preserve">status changes are visible </w:t>
      </w:r>
    </w:p>
    <w:p>
      <w:pPr>
        <w:pStyle w:val="BodyText"/>
        <w:numPr>
          <w:ilvl w:val="0"/>
          <w:numId w:val="86"/>
        </w:numPr>
        <w:tabs>
          <w:tab w:val="clear" w:pos="1134"/>
          <w:tab w:val="left" w:pos="709" w:leader="none"/>
        </w:tabs>
        <w:bidi w:val="0"/>
        <w:ind w:hanging="283" w:left="709"/>
        <w:jc w:val="left"/>
        <w:rPr/>
      </w:pPr>
      <w:r>
        <w:rPr/>
        <w:t xml:space="preserve">historical evidence is preserved </w:t>
      </w:r>
    </w:p>
    <w:p>
      <w:pPr>
        <w:pStyle w:val="BodyText"/>
        <w:bidi w:val="0"/>
        <w:jc w:val="left"/>
        <w:rPr/>
      </w:pPr>
      <w:r>
        <w:rPr/>
        <w:t>The staged adoption model in this standard follows that precedent:</w:t>
      </w:r>
    </w:p>
    <w:p>
      <w:pPr>
        <w:pStyle w:val="BodyText"/>
        <w:numPr>
          <w:ilvl w:val="0"/>
          <w:numId w:val="87"/>
        </w:numPr>
        <w:tabs>
          <w:tab w:val="clear" w:pos="1134"/>
          <w:tab w:val="left" w:pos="709" w:leader="none"/>
        </w:tabs>
        <w:bidi w:val="0"/>
        <w:spacing w:before="0" w:after="0"/>
        <w:ind w:hanging="283" w:left="709"/>
        <w:jc w:val="left"/>
        <w:rPr/>
      </w:pPr>
      <w:r>
        <w:rPr/>
        <w:t xml:space="preserve">core identifier and semantics first </w:t>
      </w:r>
    </w:p>
    <w:p>
      <w:pPr>
        <w:pStyle w:val="BodyText"/>
        <w:numPr>
          <w:ilvl w:val="0"/>
          <w:numId w:val="87"/>
        </w:numPr>
        <w:tabs>
          <w:tab w:val="clear" w:pos="1134"/>
          <w:tab w:val="left" w:pos="709" w:leader="none"/>
        </w:tabs>
        <w:bidi w:val="0"/>
        <w:spacing w:before="0" w:after="0"/>
        <w:ind w:hanging="283" w:left="709"/>
        <w:jc w:val="left"/>
        <w:rPr/>
      </w:pPr>
      <w:r>
        <w:rPr/>
        <w:t xml:space="preserve">private or local operational use second </w:t>
      </w:r>
    </w:p>
    <w:p>
      <w:pPr>
        <w:pStyle w:val="BodyText"/>
        <w:numPr>
          <w:ilvl w:val="0"/>
          <w:numId w:val="87"/>
        </w:numPr>
        <w:tabs>
          <w:tab w:val="clear" w:pos="1134"/>
          <w:tab w:val="left" w:pos="709" w:leader="none"/>
        </w:tabs>
        <w:bidi w:val="0"/>
        <w:spacing w:before="0" w:after="0"/>
        <w:ind w:hanging="283" w:left="709"/>
        <w:jc w:val="left"/>
        <w:rPr/>
      </w:pPr>
      <w:r>
        <w:rPr/>
        <w:t xml:space="preserve">delegated or accredited public issuance third </w:t>
      </w:r>
    </w:p>
    <w:p>
      <w:pPr>
        <w:pStyle w:val="BodyText"/>
        <w:numPr>
          <w:ilvl w:val="0"/>
          <w:numId w:val="87"/>
        </w:numPr>
        <w:tabs>
          <w:tab w:val="clear" w:pos="1134"/>
          <w:tab w:val="left" w:pos="709" w:leader="none"/>
        </w:tabs>
        <w:bidi w:val="0"/>
        <w:ind w:hanging="283" w:left="709"/>
        <w:jc w:val="left"/>
        <w:rPr/>
      </w:pPr>
      <w:r>
        <w:rPr/>
        <w:t xml:space="preserve">broader public verification, transparency, and portability after that </w:t>
      </w:r>
    </w:p>
    <w:p>
      <w:pPr>
        <w:pStyle w:val="BodyText"/>
        <w:bidi w:val="0"/>
        <w:jc w:val="left"/>
        <w:rPr/>
      </w:pPr>
      <w:r>
        <w:rPr/>
        <w:t xml:space="preserve">That is the governance posture </w:t>
      </w:r>
      <w:r>
        <w:rPr>
          <w:rStyle w:val="SourceText"/>
        </w:rPr>
        <w:t>GAID</w:t>
      </w:r>
      <w:r>
        <w:rPr/>
        <w:t xml:space="preserve"> is intended to establish for AI agents.</w:t>
      </w:r>
    </w:p>
    <w:p>
      <w:pPr>
        <w:pStyle w:val="Heading3"/>
        <w:bidi w:val="0"/>
        <w:jc w:val="left"/>
        <w:rPr/>
      </w:pPr>
      <w:r>
        <w:rPr/>
        <w:t>Annex D: Suggested Public Verifier Pseudocode</w:t>
      </w:r>
    </w:p>
    <w:p>
      <w:pPr>
        <w:pStyle w:val="PreformattedText"/>
        <w:bidi w:val="0"/>
        <w:jc w:val="left"/>
        <w:rPr/>
      </w:pPr>
      <w:r>
        <w:rPr>
          <w:rStyle w:val="SourceText"/>
        </w:rPr>
        <w:t>function verifyPublicGAID(gaid, expected_fingerprint = null, max_status_age = "PT15M"):</w:t>
      </w:r>
    </w:p>
    <w:p>
      <w:pPr>
        <w:pStyle w:val="PreformattedText"/>
        <w:bidi w:val="0"/>
        <w:jc w:val="left"/>
        <w:rPr/>
      </w:pPr>
      <w:r>
        <w:rPr>
          <w:rStyle w:val="SourceText"/>
        </w:rPr>
        <w:t xml:space="preserve">  </w:t>
      </w:r>
      <w:r>
        <w:rPr>
          <w:rStyle w:val="SourceText"/>
        </w:rPr>
        <w:t>aidoc = resolveAIDoc(gaid, resolution_profiles = ["https", "approved-decentralized"])</w:t>
      </w:r>
    </w:p>
    <w:p>
      <w:pPr>
        <w:pStyle w:val="PreformattedText"/>
        <w:bidi w:val="0"/>
        <w:jc w:val="left"/>
        <w:rPr/>
      </w:pPr>
      <w:r>
        <w:rPr>
          <w:rStyle w:val="SourceText"/>
        </w:rPr>
        <w:t xml:space="preserve">  </w:t>
      </w:r>
      <w:r>
        <w:rPr>
          <w:rStyle w:val="SourceText"/>
        </w:rPr>
        <w:t>if aidoc is null:</w:t>
      </w:r>
    </w:p>
    <w:p>
      <w:pPr>
        <w:pStyle w:val="PreformattedText"/>
        <w:bidi w:val="0"/>
        <w:jc w:val="left"/>
        <w:rPr/>
      </w:pPr>
      <w:r>
        <w:rPr>
          <w:rStyle w:val="SourceText"/>
        </w:rPr>
        <w:t xml:space="preserve">    </w:t>
      </w:r>
      <w:r>
        <w:rPr>
          <w:rStyle w:val="SourceText"/>
        </w:rPr>
        <w:t>return failure("aidoc_not_found")</w:t>
      </w:r>
    </w:p>
    <w:p>
      <w:pPr>
        <w:pStyle w:val="PreformattedText"/>
        <w:bidi w:val="0"/>
        <w:jc w:val="left"/>
        <w:rPr/>
      </w:pPr>
      <w:r>
        <w:rPr/>
      </w:r>
    </w:p>
    <w:p>
      <w:pPr>
        <w:pStyle w:val="PreformattedText"/>
        <w:bidi w:val="0"/>
        <w:jc w:val="left"/>
        <w:rPr/>
      </w:pPr>
      <w:r>
        <w:rPr>
          <w:rStyle w:val="SourceText"/>
        </w:rPr>
        <w:t xml:space="preserve">  </w:t>
      </w:r>
      <w:r>
        <w:rPr>
          <w:rStyle w:val="SourceText"/>
        </w:rPr>
        <w:t>trustAnchor = resolveIssuerTrustAnchor(aidoc.issuer)</w:t>
      </w:r>
    </w:p>
    <w:p>
      <w:pPr>
        <w:pStyle w:val="PreformattedText"/>
        <w:bidi w:val="0"/>
        <w:jc w:val="left"/>
        <w:rPr/>
      </w:pPr>
      <w:r>
        <w:rPr>
          <w:rStyle w:val="SourceText"/>
        </w:rPr>
        <w:t xml:space="preserve">  </w:t>
      </w:r>
      <w:r>
        <w:rPr>
          <w:rStyle w:val="SourceText"/>
        </w:rPr>
        <w:t>if trustAnchor is null:</w:t>
      </w:r>
    </w:p>
    <w:p>
      <w:pPr>
        <w:pStyle w:val="PreformattedText"/>
        <w:bidi w:val="0"/>
        <w:jc w:val="left"/>
        <w:rPr/>
      </w:pPr>
      <w:r>
        <w:rPr>
          <w:rStyle w:val="SourceText"/>
        </w:rPr>
        <w:t xml:space="preserve">    </w:t>
      </w:r>
      <w:r>
        <w:rPr>
          <w:rStyle w:val="SourceText"/>
        </w:rPr>
        <w:t>return failure("issuer_not_trusted")</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verifySignature(aidoc, trustAnchor):</w:t>
      </w:r>
    </w:p>
    <w:p>
      <w:pPr>
        <w:pStyle w:val="PreformattedText"/>
        <w:bidi w:val="0"/>
        <w:jc w:val="left"/>
        <w:rPr/>
      </w:pPr>
      <w:r>
        <w:rPr>
          <w:rStyle w:val="SourceText"/>
        </w:rPr>
        <w:t xml:space="preserve">    </w:t>
      </w:r>
      <w:r>
        <w:rPr>
          <w:rStyle w:val="SourceText"/>
        </w:rPr>
        <w:t>return failure("invalid_aidoc_signature")</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verifyIssuerStatus(aidoc.issuer, trustAnchor):</w:t>
      </w:r>
    </w:p>
    <w:p>
      <w:pPr>
        <w:pStyle w:val="PreformattedText"/>
        <w:bidi w:val="0"/>
        <w:jc w:val="left"/>
        <w:rPr/>
      </w:pPr>
      <w:r>
        <w:rPr>
          <w:rStyle w:val="SourceText"/>
        </w:rPr>
        <w:t xml:space="preserve">    </w:t>
      </w:r>
      <w:r>
        <w:rPr>
          <w:rStyle w:val="SourceText"/>
        </w:rPr>
        <w:t>return failure("issuer_status_invalid")</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verifyCurrentStatus(aidoc.status_endpoint, aidoc.status, max_status_age):</w:t>
      </w:r>
    </w:p>
    <w:p>
      <w:pPr>
        <w:pStyle w:val="PreformattedText"/>
        <w:bidi w:val="0"/>
        <w:jc w:val="left"/>
        <w:rPr/>
      </w:pPr>
      <w:r>
        <w:rPr>
          <w:rStyle w:val="SourceText"/>
        </w:rPr>
        <w:t xml:space="preserve">    </w:t>
      </w:r>
      <w:r>
        <w:rPr>
          <w:rStyle w:val="SourceText"/>
        </w:rPr>
        <w:t>return failure("subject_status_invalid")</w:t>
      </w:r>
    </w:p>
    <w:p>
      <w:pPr>
        <w:pStyle w:val="PreformattedText"/>
        <w:bidi w:val="0"/>
        <w:jc w:val="left"/>
        <w:rPr/>
      </w:pPr>
      <w:r>
        <w:rPr/>
      </w:r>
    </w:p>
    <w:p>
      <w:pPr>
        <w:pStyle w:val="PreformattedText"/>
        <w:bidi w:val="0"/>
        <w:jc w:val="left"/>
        <w:rPr/>
      </w:pPr>
      <w:r>
        <w:rPr>
          <w:rStyle w:val="SourceText"/>
        </w:rPr>
        <w:t xml:space="preserve">  </w:t>
      </w:r>
      <w:r>
        <w:rPr>
          <w:rStyle w:val="SourceText"/>
        </w:rPr>
        <w:t>if expected_fingerprint is not null:</w:t>
      </w:r>
    </w:p>
    <w:p>
      <w:pPr>
        <w:pStyle w:val="PreformattedText"/>
        <w:bidi w:val="0"/>
        <w:jc w:val="left"/>
        <w:rPr/>
      </w:pPr>
      <w:r>
        <w:rPr>
          <w:rStyle w:val="SourceText"/>
        </w:rPr>
        <w:t xml:space="preserve">    </w:t>
      </w:r>
      <w:r>
        <w:rPr>
          <w:rStyle w:val="SourceText"/>
        </w:rPr>
        <w:t>if not verifyOperatingProfileContinuity(aidoc.operating_profile_fingerprint, expected_fingerprint):</w:t>
      </w:r>
    </w:p>
    <w:p>
      <w:pPr>
        <w:pStyle w:val="PreformattedText"/>
        <w:bidi w:val="0"/>
        <w:jc w:val="left"/>
        <w:rPr/>
      </w:pPr>
      <w:r>
        <w:rPr>
          <w:rStyle w:val="SourceText"/>
        </w:rPr>
        <w:t xml:space="preserve">      </w:t>
      </w:r>
      <w:r>
        <w:rPr>
          <w:rStyle w:val="SourceText"/>
        </w:rPr>
        <w:t>return failure("operating_profile_mismatch")</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verifyBadgeValidity(aidoc.badges):</w:t>
      </w:r>
    </w:p>
    <w:p>
      <w:pPr>
        <w:pStyle w:val="PreformattedText"/>
        <w:bidi w:val="0"/>
        <w:jc w:val="left"/>
        <w:rPr/>
      </w:pPr>
      <w:r>
        <w:rPr>
          <w:rStyle w:val="SourceText"/>
        </w:rPr>
        <w:t xml:space="preserve">    </w:t>
      </w:r>
      <w:r>
        <w:rPr>
          <w:rStyle w:val="SourceText"/>
        </w:rPr>
        <w:t>return failure("badge_posture_invalid")</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verifyTransparencyReference(aidoc.transparency_log):</w:t>
      </w:r>
    </w:p>
    <w:p>
      <w:pPr>
        <w:pStyle w:val="PreformattedText"/>
        <w:bidi w:val="0"/>
        <w:jc w:val="left"/>
        <w:rPr/>
      </w:pPr>
      <w:r>
        <w:rPr>
          <w:rStyle w:val="SourceText"/>
        </w:rPr>
        <w:t xml:space="preserve">    </w:t>
      </w:r>
      <w:r>
        <w:rPr>
          <w:rStyle w:val="SourceText"/>
        </w:rPr>
        <w:t>return failure("transparency_reference_invalid")</w:t>
      </w:r>
    </w:p>
    <w:p>
      <w:pPr>
        <w:pStyle w:val="PreformattedText"/>
        <w:bidi w:val="0"/>
        <w:jc w:val="left"/>
        <w:rPr/>
      </w:pPr>
      <w:r>
        <w:rPr/>
      </w:r>
    </w:p>
    <w:p>
      <w:pPr>
        <w:pStyle w:val="PreformattedText"/>
        <w:bidi w:val="0"/>
        <w:jc w:val="left"/>
        <w:rPr/>
      </w:pPr>
      <w:r>
        <w:rPr>
          <w:rStyle w:val="SourceText"/>
        </w:rPr>
        <w:t xml:space="preserve">  </w:t>
      </w:r>
      <w:r>
        <w:rPr>
          <w:rStyle w:val="SourceText"/>
        </w:rPr>
        <w:t>return {</w:t>
      </w:r>
    </w:p>
    <w:p>
      <w:pPr>
        <w:pStyle w:val="PreformattedText"/>
        <w:bidi w:val="0"/>
        <w:jc w:val="left"/>
        <w:rPr/>
      </w:pPr>
      <w:r>
        <w:rPr>
          <w:rStyle w:val="SourceText"/>
        </w:rPr>
        <w:t xml:space="preserve">    </w:t>
      </w:r>
      <w:r>
        <w:rPr>
          <w:rStyle w:val="SourceText"/>
        </w:rPr>
        <w:t>subject_identity_valid: true,</w:t>
      </w:r>
    </w:p>
    <w:p>
      <w:pPr>
        <w:pStyle w:val="PreformattedText"/>
        <w:bidi w:val="0"/>
        <w:jc w:val="left"/>
        <w:rPr/>
      </w:pPr>
      <w:r>
        <w:rPr>
          <w:rStyle w:val="SourceText"/>
        </w:rPr>
        <w:t xml:space="preserve">    </w:t>
      </w:r>
      <w:r>
        <w:rPr>
          <w:rStyle w:val="SourceText"/>
        </w:rPr>
        <w:t>issuer_valid: true,</w:t>
      </w:r>
    </w:p>
    <w:p>
      <w:pPr>
        <w:pStyle w:val="PreformattedText"/>
        <w:bidi w:val="0"/>
        <w:jc w:val="left"/>
        <w:rPr/>
      </w:pPr>
      <w:r>
        <w:rPr>
          <w:rStyle w:val="SourceText"/>
        </w:rPr>
        <w:t xml:space="preserve">    </w:t>
      </w:r>
      <w:r>
        <w:rPr>
          <w:rStyle w:val="SourceText"/>
        </w:rPr>
        <w:t>status_valid: true,</w:t>
      </w:r>
    </w:p>
    <w:p>
      <w:pPr>
        <w:pStyle w:val="PreformattedText"/>
        <w:bidi w:val="0"/>
        <w:jc w:val="left"/>
        <w:rPr/>
      </w:pPr>
      <w:r>
        <w:rPr>
          <w:rStyle w:val="SourceText"/>
        </w:rPr>
        <w:t xml:space="preserve">    </w:t>
      </w:r>
      <w:r>
        <w:rPr>
          <w:rStyle w:val="SourceText"/>
        </w:rPr>
        <w:t>badge_posture: summarizeBadges(aidoc.badges)</w:t>
      </w:r>
    </w:p>
    <w:p>
      <w:pPr>
        <w:pStyle w:val="PreformattedText"/>
        <w:bidi w:val="0"/>
        <w:spacing w:before="0" w:after="283"/>
        <w:jc w:val="left"/>
        <w:rPr/>
      </w:pPr>
      <w:r>
        <w:rPr>
          <w:rStyle w:val="SourceText"/>
        </w:rPr>
        <w:t xml:space="preserve">  </w:t>
      </w:r>
      <w:r>
        <w:rPr>
          <w:rStyle w:val="SourceText"/>
        </w:rPr>
        <w:t>}</w:t>
      </w:r>
    </w:p>
    <w:p>
      <w:pPr>
        <w:pStyle w:val="Heading3"/>
        <w:bidi w:val="0"/>
        <w:jc w:val="left"/>
        <w:rPr/>
      </w:pPr>
      <w:r>
        <w:rPr/>
        <w:t>Annex E: Suggested Receipt Verifier Pseudocode</w:t>
      </w:r>
    </w:p>
    <w:p>
      <w:pPr>
        <w:pStyle w:val="PreformattedText"/>
        <w:bidi w:val="0"/>
        <w:jc w:val="left"/>
        <w:rPr/>
      </w:pPr>
      <w:r>
        <w:rPr>
          <w:rStyle w:val="SourceText"/>
        </w:rPr>
        <w:t>function verifyReceipt(receipt, aidoc, max_receipt_age = "P30D"):</w:t>
      </w:r>
    </w:p>
    <w:p>
      <w:pPr>
        <w:pStyle w:val="PreformattedText"/>
        <w:bidi w:val="0"/>
        <w:jc w:val="left"/>
        <w:rPr/>
      </w:pPr>
      <w:r>
        <w:rPr>
          <w:rStyle w:val="SourceText"/>
        </w:rPr>
        <w:t xml:space="preserve">  </w:t>
      </w:r>
      <w:r>
        <w:rPr>
          <w:rStyle w:val="SourceText"/>
        </w:rPr>
        <w:t>if receipt is null:</w:t>
      </w:r>
    </w:p>
    <w:p>
      <w:pPr>
        <w:pStyle w:val="PreformattedText"/>
        <w:bidi w:val="0"/>
        <w:jc w:val="left"/>
        <w:rPr/>
      </w:pPr>
      <w:r>
        <w:rPr>
          <w:rStyle w:val="SourceText"/>
        </w:rPr>
        <w:t xml:space="preserve">    </w:t>
      </w:r>
      <w:r>
        <w:rPr>
          <w:rStyle w:val="SourceText"/>
        </w:rPr>
        <w:t>return failure("receipt_not_found")</w:t>
      </w:r>
    </w:p>
    <w:p>
      <w:pPr>
        <w:pStyle w:val="PreformattedText"/>
        <w:bidi w:val="0"/>
        <w:jc w:val="left"/>
        <w:rPr/>
      </w:pPr>
      <w:r>
        <w:rPr/>
      </w:r>
    </w:p>
    <w:p>
      <w:pPr>
        <w:pStyle w:val="PreformattedText"/>
        <w:bidi w:val="0"/>
        <w:jc w:val="left"/>
        <w:rPr/>
      </w:pPr>
      <w:r>
        <w:rPr>
          <w:rStyle w:val="SourceText"/>
        </w:rPr>
        <w:t xml:space="preserve">  </w:t>
      </w:r>
      <w:r>
        <w:rPr>
          <w:rStyle w:val="SourceText"/>
        </w:rPr>
        <w:t>if receipt.gaid != aidoc.gaid:</w:t>
      </w:r>
    </w:p>
    <w:p>
      <w:pPr>
        <w:pStyle w:val="PreformattedText"/>
        <w:bidi w:val="0"/>
        <w:jc w:val="left"/>
        <w:rPr/>
      </w:pPr>
      <w:r>
        <w:rPr>
          <w:rStyle w:val="SourceText"/>
        </w:rPr>
        <w:t xml:space="preserve">    </w:t>
      </w:r>
      <w:r>
        <w:rPr>
          <w:rStyle w:val="SourceText"/>
        </w:rPr>
        <w:t>return failure("receipt_subject_mismatch")</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verifyReceiptSignature(receipt, aidoc.verification_material):</w:t>
      </w:r>
    </w:p>
    <w:p>
      <w:pPr>
        <w:pStyle w:val="PreformattedText"/>
        <w:bidi w:val="0"/>
        <w:jc w:val="left"/>
        <w:rPr/>
      </w:pPr>
      <w:r>
        <w:rPr>
          <w:rStyle w:val="SourceText"/>
        </w:rPr>
        <w:t xml:space="preserve">    </w:t>
      </w:r>
      <w:r>
        <w:rPr>
          <w:rStyle w:val="SourceText"/>
        </w:rPr>
        <w:t>return failure("invalid_receipt_signature")</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verifyReceiptFreshness(receipt.timestamp, max_receipt_age):</w:t>
      </w:r>
    </w:p>
    <w:p>
      <w:pPr>
        <w:pStyle w:val="PreformattedText"/>
        <w:bidi w:val="0"/>
        <w:jc w:val="left"/>
        <w:rPr/>
      </w:pPr>
      <w:r>
        <w:rPr>
          <w:rStyle w:val="SourceText"/>
        </w:rPr>
        <w:t xml:space="preserve">    </w:t>
      </w:r>
      <w:r>
        <w:rPr>
          <w:rStyle w:val="SourceText"/>
        </w:rPr>
        <w:t>return failure("receipt_stale")</w:t>
      </w:r>
    </w:p>
    <w:p>
      <w:pPr>
        <w:pStyle w:val="PreformattedText"/>
        <w:bidi w:val="0"/>
        <w:jc w:val="left"/>
        <w:rPr/>
      </w:pPr>
      <w:r>
        <w:rPr/>
      </w:r>
    </w:p>
    <w:p>
      <w:pPr>
        <w:pStyle w:val="PreformattedText"/>
        <w:bidi w:val="0"/>
        <w:jc w:val="left"/>
        <w:rPr/>
      </w:pPr>
      <w:r>
        <w:rPr>
          <w:rStyle w:val="SourceText"/>
        </w:rPr>
        <w:t xml:space="preserve">  </w:t>
      </w:r>
      <w:r>
        <w:rPr>
          <w:rStyle w:val="SourceText"/>
        </w:rPr>
        <w:t>if receipt.parent_receipt is not null:</w:t>
      </w:r>
    </w:p>
    <w:p>
      <w:pPr>
        <w:pStyle w:val="PreformattedText"/>
        <w:bidi w:val="0"/>
        <w:jc w:val="left"/>
        <w:rPr/>
      </w:pPr>
      <w:r>
        <w:rPr>
          <w:rStyle w:val="SourceText"/>
        </w:rPr>
        <w:t xml:space="preserve">    </w:t>
      </w:r>
      <w:r>
        <w:rPr>
          <w:rStyle w:val="SourceText"/>
        </w:rPr>
        <w:t>if not verifyParentReceiptLink(receipt.parent_receipt, receipt.trace_context):</w:t>
      </w:r>
    </w:p>
    <w:p>
      <w:pPr>
        <w:pStyle w:val="PreformattedText"/>
        <w:bidi w:val="0"/>
        <w:jc w:val="left"/>
        <w:rPr/>
      </w:pPr>
      <w:r>
        <w:rPr>
          <w:rStyle w:val="SourceText"/>
        </w:rPr>
        <w:t xml:space="preserve">      </w:t>
      </w:r>
      <w:r>
        <w:rPr>
          <w:rStyle w:val="SourceText"/>
        </w:rPr>
        <w:t>return failure("parent_receipt_invalid")</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verifyTraceContext(receipt.trace_context):</w:t>
      </w:r>
    </w:p>
    <w:p>
      <w:pPr>
        <w:pStyle w:val="PreformattedText"/>
        <w:bidi w:val="0"/>
        <w:jc w:val="left"/>
        <w:rPr/>
      </w:pPr>
      <w:r>
        <w:rPr>
          <w:rStyle w:val="SourceText"/>
        </w:rPr>
        <w:t xml:space="preserve">    </w:t>
      </w:r>
      <w:r>
        <w:rPr>
          <w:rStyle w:val="SourceText"/>
        </w:rPr>
        <w:t>return failure("trace_context_invalid")</w:t>
      </w:r>
    </w:p>
    <w:p>
      <w:pPr>
        <w:pStyle w:val="PreformattedText"/>
        <w:bidi w:val="0"/>
        <w:jc w:val="left"/>
        <w:rPr/>
      </w:pPr>
      <w:r>
        <w:rPr/>
      </w:r>
    </w:p>
    <w:p>
      <w:pPr>
        <w:pStyle w:val="PreformattedText"/>
        <w:bidi w:val="0"/>
        <w:jc w:val="left"/>
        <w:rPr/>
      </w:pPr>
      <w:r>
        <w:rPr>
          <w:rStyle w:val="SourceText"/>
        </w:rPr>
        <w:t xml:space="preserve">  </w:t>
      </w:r>
      <w:r>
        <w:rPr>
          <w:rStyle w:val="SourceText"/>
        </w:rPr>
        <w:t>if not verifyAuthorizationClass(receipt.authorization_class, aidoc.authorization_classes):</w:t>
      </w:r>
    </w:p>
    <w:p>
      <w:pPr>
        <w:pStyle w:val="PreformattedText"/>
        <w:bidi w:val="0"/>
        <w:jc w:val="left"/>
        <w:rPr/>
      </w:pPr>
      <w:r>
        <w:rPr>
          <w:rStyle w:val="SourceText"/>
        </w:rPr>
        <w:t xml:space="preserve">    </w:t>
      </w:r>
      <w:r>
        <w:rPr>
          <w:rStyle w:val="SourceText"/>
        </w:rPr>
        <w:t>return failure("authorization_class_invalid")</w:t>
      </w:r>
    </w:p>
    <w:p>
      <w:pPr>
        <w:pStyle w:val="PreformattedText"/>
        <w:bidi w:val="0"/>
        <w:jc w:val="left"/>
        <w:rPr/>
      </w:pPr>
      <w:r>
        <w:rPr/>
      </w:r>
    </w:p>
    <w:p>
      <w:pPr>
        <w:pStyle w:val="PreformattedText"/>
        <w:bidi w:val="0"/>
        <w:spacing w:before="0" w:after="283"/>
        <w:jc w:val="left"/>
        <w:rPr/>
      </w:pPr>
      <w:r>
        <w:rPr>
          <w:rStyle w:val="SourceText"/>
        </w:rPr>
        <w:t xml:space="preserve">  </w:t>
      </w:r>
      <w:r>
        <w:rPr>
          <w:rStyle w:val="SourceText"/>
        </w:rPr>
        <w:t>return success("receipt_verified")</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9">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8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8">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BodyText"/>
    <w:qFormat/>
    <w:pPr/>
    <w:rPr>
      <w:b/>
      <w:bCs/>
      <w:sz w:val="48"/>
      <w:szCs w:val="48"/>
    </w:rPr>
  </w:style>
  <w:style w:type="paragraph" w:styleId="Heading2">
    <w:name w:val="heading 2"/>
    <w:basedOn w:val="Heading"/>
    <w:next w:val="BodyText"/>
    <w:qFormat/>
    <w:p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8"/>
      <w:szCs w:val="28"/>
    </w:rPr>
  </w:style>
  <w:style w:type="paragraph" w:styleId="Heading4">
    <w:name w:val="heading 4"/>
    <w:basedOn w:val="Heading"/>
    <w:next w:val="BodyText"/>
    <w:qFormat/>
    <w:pPr>
      <w:spacing w:before="120" w:after="120"/>
      <w:outlineLvl w:val="3"/>
    </w:pPr>
    <w:rPr>
      <w:rFonts w:ascii="Liberation Serif" w:hAnsi="Liberation Serif" w:eastAsia="DejaVu Sans" w:cs="DejaVu Sans"/>
      <w:b/>
      <w:bCs/>
      <w:sz w:val="24"/>
      <w:szCs w:val="24"/>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character" w:styleId="SourceText">
    <w:name w:val="Source Text"/>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in/job-specific-intelligence.md" TargetMode="External"/><Relationship Id="rId3" Type="http://schemas.openxmlformats.org/officeDocument/2006/relationships/hyperlink" Target="../in/trusted-ai-kernel.md" TargetMode="External"/><Relationship Id="rId4" Type="http://schemas.openxmlformats.org/officeDocument/2006/relationships/hyperlink" Target="../in/job-specific-intelligence.md" TargetMode="External"/><Relationship Id="rId5" Type="http://schemas.openxmlformats.org/officeDocument/2006/relationships/hyperlink" Target="../in/agent-standards-external-alignment.md" TargetMode="External"/><Relationship Id="rId6" Type="http://schemas.openxmlformats.org/officeDocument/2006/relationships/hyperlink" Target="https://www.iso.org/standard/42001" TargetMode="External"/><Relationship Id="rId7" Type="http://schemas.openxmlformats.org/officeDocument/2006/relationships/hyperlink" Target="https://www.iso.org/standard/17024" TargetMode="External"/><Relationship Id="rId8" Type="http://schemas.openxmlformats.org/officeDocument/2006/relationships/hyperlink" Target="https://www.iso.org/standard/80655.html" TargetMode="External"/><Relationship Id="rId9" Type="http://schemas.openxmlformats.org/officeDocument/2006/relationships/hyperlink" Target="https://www.iso.org/standard/81088.html" TargetMode="External"/><Relationship Id="rId10" Type="http://schemas.openxmlformats.org/officeDocument/2006/relationships/hyperlink" Target="https://www.iso.org/standard/81860.html" TargetMode="External"/><Relationship Id="rId11" Type="http://schemas.openxmlformats.org/officeDocument/2006/relationships/hyperlink" Target="https://www.iso.org/standard/84150.html" TargetMode="External"/><Relationship Id="rId12" Type="http://schemas.openxmlformats.org/officeDocument/2006/relationships/hyperlink" Target="https://www.iso.org/standard/84111.html" TargetMode="External"/><Relationship Id="rId13" Type="http://schemas.openxmlformats.org/officeDocument/2006/relationships/hyperlink" Target="https://www.iso.org/standard/86898.html" TargetMode="External"/><Relationship Id="rId14" Type="http://schemas.openxmlformats.org/officeDocument/2006/relationships/hyperlink" Target="https://doi.org/10.6028/NIST.AI.100-1" TargetMode="External"/><Relationship Id="rId15" Type="http://schemas.openxmlformats.org/officeDocument/2006/relationships/hyperlink" Target="https://www.nist.gov/artificial-intelligence/ai-agent-standards-initiative" TargetMode="External"/><Relationship Id="rId16" Type="http://schemas.openxmlformats.org/officeDocument/2006/relationships/hyperlink" Target="https://csrc.nist.gov/pubs/other/2026/02/05/accelerating-the-adoption-of-software-and-ai-agent/ipd" TargetMode="External"/><Relationship Id="rId17" Type="http://schemas.openxmlformats.org/officeDocument/2006/relationships/hyperlink" Target="https://openid.net/cg/artificial-intelligence-identity-management-community-group/" TargetMode="External"/><Relationship Id="rId18" Type="http://schemas.openxmlformats.org/officeDocument/2006/relationships/hyperlink" Target="https://openid.net/wp-content/uploads/2025/10/Identity-Management-for-Agentic-AI.pdf" TargetMode="External"/><Relationship Id="rId19" Type="http://schemas.openxmlformats.org/officeDocument/2006/relationships/hyperlink" Target="https://openid.net/wp-content/uploads/2026/03/Attachment1_NIST-2025-0035-0001.pdf" TargetMode="External"/><Relationship Id="rId20" Type="http://schemas.openxmlformats.org/officeDocument/2006/relationships/hyperlink" Target="https://www.w3.org/community/agent-identity/" TargetMode="External"/><Relationship Id="rId21" Type="http://schemas.openxmlformats.org/officeDocument/2006/relationships/hyperlink" Target="https://www.w3.org/community/adacg/" TargetMode="External"/><Relationship Id="rId22" Type="http://schemas.openxmlformats.org/officeDocument/2006/relationships/hyperlink" Target="https://www.w3.org/community/atp/" TargetMode="External"/><Relationship Id="rId23" Type="http://schemas.openxmlformats.org/officeDocument/2006/relationships/hyperlink" Target="https://www.coalitionforsecureai.org/wp-content/uploads/2026/04/agentic-identity-and-access-control.pdf" TargetMode="External"/><Relationship Id="rId24" Type="http://schemas.openxmlformats.org/officeDocument/2006/relationships/hyperlink" Target="https://modelcontextprotocol.io/specification/2025-11-25/basic" TargetMode="External"/><Relationship Id="rId25" Type="http://schemas.openxmlformats.org/officeDocument/2006/relationships/hyperlink" Target="https://modelcontextprotocol.io/specification/2025-11-25/basic/authorization" TargetMode="External"/><Relationship Id="rId26" Type="http://schemas.openxmlformats.org/officeDocument/2006/relationships/hyperlink" Target="https://www.anthropic.com/news/model-context-protocol" TargetMode="External"/><Relationship Id="rId27" Type="http://schemas.openxmlformats.org/officeDocument/2006/relationships/hyperlink" Target="https://a2a-protocol.org/latest/specification/" TargetMode="External"/><Relationship Id="rId28" Type="http://schemas.openxmlformats.org/officeDocument/2006/relationships/hyperlink" Target="https://a2a-protocol.org/latest/topics/enterprise-ready/" TargetMode="External"/><Relationship Id="rId29" Type="http://schemas.openxmlformats.org/officeDocument/2006/relationships/hyperlink" Target="https://developers.googleblog.com/en/a2a-a-new-era-of-agent-interoperability/" TargetMode="External"/><Relationship Id="rId30" Type="http://schemas.openxmlformats.org/officeDocument/2006/relationships/hyperlink" Target="https://www.linuxfoundation.org/press/linux-foundation-announces-the-formation-of-the-agentic-ai-foundation?hs_amp=true" TargetMode="External"/><Relationship Id="rId31" Type="http://schemas.openxmlformats.org/officeDocument/2006/relationships/hyperlink" Target="https://www.rfc-editor.org/rfc/rfc4512.html" TargetMode="External"/><Relationship Id="rId32" Type="http://schemas.openxmlformats.org/officeDocument/2006/relationships/hyperlink" Target="https://www.rfc-editor.org/rfc/rfc7643" TargetMode="External"/><Relationship Id="rId33" Type="http://schemas.openxmlformats.org/officeDocument/2006/relationships/hyperlink" Target="https://www.rfc-editor.org/rfc/rfc7644" TargetMode="External"/><Relationship Id="rId34" Type="http://schemas.openxmlformats.org/officeDocument/2006/relationships/hyperlink" Target="https://www.rfc-editor.org/rfc/rfc9728" TargetMode="External"/><Relationship Id="rId35" Type="http://schemas.openxmlformats.org/officeDocument/2006/relationships/hyperlink" Target="https://www.rfc-editor.org/rfc/rfc9635" TargetMode="External"/><Relationship Id="rId36" Type="http://schemas.openxmlformats.org/officeDocument/2006/relationships/hyperlink" Target="https://www.rfc-editor.org/rfc/rfc9767" TargetMode="External"/><Relationship Id="rId37" Type="http://schemas.openxmlformats.org/officeDocument/2006/relationships/hyperlink" Target="https://www.rfc-editor.org/rfc/rfc9449" TargetMode="External"/><Relationship Id="rId38" Type="http://schemas.openxmlformats.org/officeDocument/2006/relationships/hyperlink" Target="https://datatracker.ietf.org/group/wimse/" TargetMode="External"/><Relationship Id="rId39" Type="http://schemas.openxmlformats.org/officeDocument/2006/relationships/hyperlink" Target="https://datatracker.ietf.org/doc/draft-ni-wimse-ai-agent-identity/" TargetMode="External"/><Relationship Id="rId40" Type="http://schemas.openxmlformats.org/officeDocument/2006/relationships/hyperlink" Target="https://datatracker.ietf.org/doc/draft-klrc-aiagent-auth/02/" TargetMode="External"/><Relationship Id="rId41" Type="http://schemas.openxmlformats.org/officeDocument/2006/relationships/hyperlink" Target="https://www.ietf.org/archive/id/draft-munoz-wimse-authorization-evidence-00.html" TargetMode="External"/><Relationship Id="rId42" Type="http://schemas.openxmlformats.org/officeDocument/2006/relationships/hyperlink" Target="https://www.ietf.org/archive/id/draft-reece-wimse-cross-org-delegation-00.html" TargetMode="External"/><Relationship Id="rId43" Type="http://schemas.openxmlformats.org/officeDocument/2006/relationships/hyperlink" Target="https://www.w3.org/TR/vc-data-model/" TargetMode="External"/><Relationship Id="rId44" Type="http://schemas.openxmlformats.org/officeDocument/2006/relationships/hyperlink" Target="https://standards.1edtech.org/open-badges/specifications/standards/v3p0/cert" TargetMode="External"/><Relationship Id="rId45" Type="http://schemas.openxmlformats.org/officeDocument/2006/relationships/hyperlink" Target="https://www.w3.org/TR/did-core/" TargetMode="External"/><Relationship Id="rId46" Type="http://schemas.openxmlformats.org/officeDocument/2006/relationships/hyperlink" Target="https://www.w3.org/TR/trace-context/" TargetMode="External"/><Relationship Id="rId47" Type="http://schemas.openxmlformats.org/officeDocument/2006/relationships/hyperlink" Target="https://www.rfc-editor.org/info/rfc9421" TargetMode="External"/><Relationship Id="rId48" Type="http://schemas.openxmlformats.org/officeDocument/2006/relationships/hyperlink" Target="https://www.rfc-editor.org/rfc/rfc9162" TargetMode="External"/><Relationship Id="rId49" Type="http://schemas.openxmlformats.org/officeDocument/2006/relationships/hyperlink" Target="https://datatracker.ietf.org/doc/draft-ietf-scitt-architecture/22/" TargetMode="External"/><Relationship Id="rId50" Type="http://schemas.openxmlformats.org/officeDocument/2006/relationships/hyperlink" Target="https://slsa.dev/spec/v1.2/provenance" TargetMode="External"/><Relationship Id="rId51" Type="http://schemas.openxmlformats.org/officeDocument/2006/relationships/hyperlink" Target="https://github.com/in-toto/attestation/blob/main/spec/README.md" TargetMode="External"/><Relationship Id="rId52" Type="http://schemas.openxmlformats.org/officeDocument/2006/relationships/hyperlink" Target="https://docs.sigstore.dev/" TargetMode="External"/><Relationship Id="rId53" Type="http://schemas.openxmlformats.org/officeDocument/2006/relationships/hyperlink" Target="https://spec.c2pa.org/specifications/specifications/2.2/specs/C2PA_Specification.html" TargetMode="External"/><Relationship Id="rId54" Type="http://schemas.openxmlformats.org/officeDocument/2006/relationships/hyperlink" Target="https://spec.c2pa.org/specifications/specifications/2.4/guidance/Guidance.html" TargetMode="External"/><Relationship Id="rId55" Type="http://schemas.openxmlformats.org/officeDocument/2006/relationships/hyperlink" Target="https://ap2-protocol.org/topics/core-concepts/" TargetMode="External"/><Relationship Id="rId56" Type="http://schemas.openxmlformats.org/officeDocument/2006/relationships/hyperlink" Target="https://www.packageurl.org/" TargetMode="External"/><Relationship Id="rId57" Type="http://schemas.openxmlformats.org/officeDocument/2006/relationships/hyperlink" Target="https://genai.owasp.org/2025/12/09/owasp-top-10-for-agentic-applications-the-benchmark-for-agentic-security-in-the-age-of-autonomous-ai/" TargetMode="External"/><Relationship Id="rId58" Type="http://schemas.openxmlformats.org/officeDocument/2006/relationships/hyperlink" Target="https://labs.cloudsecurityalliance.org/maestro/" TargetMode="External"/><Relationship Id="rId59" Type="http://schemas.openxmlformats.org/officeDocument/2006/relationships/hyperlink" Target="https://atlas.mitre.org/" TargetMode="External"/><Relationship Id="rId60" Type="http://schemas.openxmlformats.org/officeDocument/2006/relationships/hyperlink" Target="https://digital-strategy.ec.europa.eu/en/policies/contents-code-gpai" TargetMode="External"/><Relationship Id="rId61" Type="http://schemas.openxmlformats.org/officeDocument/2006/relationships/hyperlink" Target="https://eur-lex.europa.eu/legal-content/EN/ALL/?uri=celex%3A32016R0679" TargetMode="External"/><Relationship Id="rId62" Type="http://schemas.openxmlformats.org/officeDocument/2006/relationships/hyperlink" Target="https://www.imda.gov.sg/resources/press-releases-factsheets-and-speeches/press-releases/2026/new-model-ai-governance-framework-for-agentic-ai" TargetMode="External"/><Relationship Id="rId63" Type="http://schemas.openxmlformats.org/officeDocument/2006/relationships/hyperlink" Target="https://www.iso.org/standard/85819.html" TargetMode="External"/><Relationship Id="rId64" Type="http://schemas.openxmlformats.org/officeDocument/2006/relationships/image" Target="media/image1.png"/><Relationship Id="rId65" Type="http://schemas.openxmlformats.org/officeDocument/2006/relationships/image" Target="media/image2.png"/><Relationship Id="rId66" Type="http://schemas.openxmlformats.org/officeDocument/2006/relationships/image" Target="media/image3.png"/><Relationship Id="rId67" Type="http://schemas.openxmlformats.org/officeDocument/2006/relationships/image" Target="media/image4.png"/><Relationship Id="rId68" Type="http://schemas.openxmlformats.org/officeDocument/2006/relationships/image" Target="media/image5.png"/><Relationship Id="rId69" Type="http://schemas.openxmlformats.org/officeDocument/2006/relationships/hyperlink" Target="../in/agent-standards-family.md" TargetMode="Externa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LibreOffice/25.2.3.2$Linux_AARCH64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Global AI Agent Identification and Governance</dc:title>
</cp:coreProperties>
</file>

<file path=docProps/custom.xml><?xml version="1.0" encoding="utf-8"?>
<Properties xmlns="http://schemas.openxmlformats.org/officeDocument/2006/custom-properties" xmlns:vt="http://schemas.openxmlformats.org/officeDocument/2006/docPropsVTypes"/>
</file>