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Gated Permissions Process (GPP)</w:t>
      </w:r>
    </w:p>
    <w:p>
      <w:pPr>
        <w:pStyle w:val="BodyText"/>
        <w:bidi w:val="0"/>
        <w:jc w:val="left"/>
        <w:rPr/>
      </w:pPr>
      <w:r>
        <w:rPr>
          <w:rStyle w:val="Strong"/>
        </w:rPr>
        <w:t>Binding Decision Gates to the Tools an Agent May Use, per Work-Shape Stage</w:t>
      </w:r>
    </w:p>
    <w:p>
      <w:pPr>
        <w:pStyle w:val="BodyText"/>
        <w:bidi w:val="0"/>
        <w:jc w:val="left"/>
        <w:rPr/>
      </w:pPr>
      <w:r>
        <w:rPr>
          <w:rStyle w:val="Emphasis"/>
        </w:rPr>
        <w:t>Generated 2026-10-02</w:t>
      </w:r>
    </w:p>
    <w:p>
      <w:pPr>
        <w:pStyle w:val="BodyText"/>
        <w:bidi w:val="0"/>
        <w:jc w:val="left"/>
        <w:rPr/>
      </w:pPr>
      <w:r>
        <w:rPr>
          <w:rStyle w:val="Strong"/>
        </w:rPr>
        <w:t>Status:</w:t>
      </w:r>
      <w:r>
        <w:rPr/>
        <w:t xml:space="preserve"> working draft 0.8 · </w:t>
      </w:r>
      <w:r>
        <w:rPr>
          <w:rStyle w:val="Strong"/>
        </w:rPr>
        <w:t>Date:</w:t>
      </w:r>
      <w:r>
        <w:rPr/>
        <w:t xml:space="preserve"> 2026-10-02 · </w:t>
      </w:r>
      <w:r>
        <w:rPr>
          <w:rStyle w:val="Strong"/>
        </w:rPr>
        <w:t>Epic:</w:t>
      </w:r>
      <w:r>
        <w:rPr/>
        <w:t xml:space="preserve"> EP-B932453F · </w:t>
      </w:r>
      <w:r>
        <w:rPr>
          <w:rStyle w:val="Strong"/>
        </w:rPr>
        <w:t>Backlog:</w:t>
      </w:r>
      <w:r>
        <w:rPr/>
        <w:t xml:space="preserve"> BI-2C3B3AC9 </w:t>
      </w:r>
      <w:r>
        <w:rPr>
          <w:rStyle w:val="Strong"/>
        </w:rPr>
        <w:t>Placement decision:</w:t>
      </w:r>
      <w:r>
        <w:rPr/>
        <w:t xml:space="preserve"> DI-5E0B3CA09D27 (WWMD, high confidence). GPP is the fourth member of the </w:t>
      </w:r>
      <w:hyperlink r:id="rId2">
        <w:r>
          <w:rPr>
            <w:rStyle w:val="Hyperlink"/>
          </w:rPr>
          <w:t>standards family</w:t>
        </w:r>
      </w:hyperlink>
      <w:r>
        <w:rPr/>
        <w:t xml:space="preserve"> and owns the binding semantic only.</w:t>
      </w:r>
    </w:p>
    <w:p>
      <w:pPr>
        <w:pStyle w:val="Heading2"/>
        <w:bidi w:val="0"/>
        <w:jc w:val="left"/>
        <w:rPr/>
      </w:pPr>
      <w:r>
        <w:rPr/>
        <w:t>Abstract</w:t>
      </w:r>
    </w:p>
    <w:p>
      <w:pPr>
        <w:pStyle w:val="BodyText"/>
        <w:bidi w:val="0"/>
        <w:jc w:val="left"/>
        <w:rPr/>
      </w:pPr>
      <w:r>
        <w:rPr/>
        <w:t>The Gated Permissions Process (</w:t>
      </w:r>
      <w:r>
        <w:rPr>
          <w:rStyle w:val="SourceText"/>
        </w:rPr>
        <w:t>GPP</w:t>
      </w:r>
      <w:r>
        <w:rPr/>
        <w:t xml:space="preserve">) is a modeling standard for governing which tools an AI agent may reach, and under whose decision. It defines one modelled unit, the </w:t>
      </w:r>
      <w:r>
        <w:rPr>
          <w:rStyle w:val="Strong"/>
        </w:rPr>
        <w:t>Gated Permission</w:t>
      </w:r>
      <w:r>
        <w:rPr/>
        <w:t>. A Gated Permission binds a decision gate in a named owning authority scope to a bounded set of tool capabilities, for a specific stage of a specific work shape, with stated evidence, validity and stop conditions.</w:t>
      </w:r>
    </w:p>
    <w:p>
      <w:pPr>
        <w:pStyle w:val="BodyText"/>
        <w:bidi w:val="0"/>
        <w:jc w:val="left"/>
        <w:rPr/>
      </w:pPr>
      <w:r>
        <w:rPr/>
        <w:t>GPP exists because neither of the two common ways to govern agent tool use holds up:</w:t>
      </w:r>
    </w:p>
    <w:p>
      <w:pPr>
        <w:pStyle w:val="BodyText"/>
        <w:numPr>
          <w:ilvl w:val="0"/>
          <w:numId w:val="1"/>
        </w:numPr>
        <w:tabs>
          <w:tab w:val="clear" w:pos="1134"/>
          <w:tab w:val="left" w:pos="709" w:leader="none"/>
        </w:tabs>
        <w:bidi w:val="0"/>
        <w:spacing w:before="0" w:after="0"/>
        <w:ind w:hanging="283" w:left="709"/>
        <w:jc w:val="left"/>
        <w:rPr/>
      </w:pPr>
      <w:r>
        <w:rPr>
          <w:rStyle w:val="Strong"/>
        </w:rPr>
        <w:t>Per-call approval</w:t>
      </w:r>
      <w:r>
        <w:rPr/>
        <w:t xml:space="preserve"> asks a person to approve every tool call. People stop reading. One vendor reports that users approve 93–97% of prompts and catch a disguised dangerous command 13.6% of the time (see the </w:t>
      </w:r>
      <w:r>
        <w:fldChar w:fldCharType="begin"/>
      </w:r>
      <w:r>
        <w:rPr>
          <w:rStyle w:val="Hyperlink"/>
        </w:rPr>
        <w:instrText xml:space="preserve"> HYPERLINK "../in/agent-governance-market-landscape-2026.md" \l "2-evidence-that-per-call-approval-fails"</w:instrText>
      </w:r>
      <w:r>
        <w:rPr>
          <w:rStyle w:val="Hyperlink"/>
        </w:rPr>
        <w:fldChar w:fldCharType="separate"/>
      </w:r>
      <w:r>
        <w:rPr>
          <w:rStyle w:val="Hyperlink"/>
        </w:rPr>
        <w:t>market brief</w:t>
      </w:r>
      <w:r>
        <w:rPr>
          <w:rStyle w:val="Hyperlink"/>
        </w:rPr>
        <w:fldChar w:fldCharType="end"/>
      </w:r>
      <w:r>
        <w:rPr/>
        <w:t xml:space="preserve">). </w:t>
      </w:r>
    </w:p>
    <w:p>
      <w:pPr>
        <w:pStyle w:val="BodyText"/>
        <w:numPr>
          <w:ilvl w:val="0"/>
          <w:numId w:val="1"/>
        </w:numPr>
        <w:tabs>
          <w:tab w:val="clear" w:pos="1134"/>
          <w:tab w:val="left" w:pos="709" w:leader="none"/>
        </w:tabs>
        <w:bidi w:val="0"/>
        <w:ind w:hanging="283" w:left="709"/>
        <w:jc w:val="left"/>
        <w:rPr/>
      </w:pPr>
      <w:r>
        <w:rPr>
          <w:rStyle w:val="Strong"/>
        </w:rPr>
        <w:t>Blanket approval</w:t>
      </w:r>
      <w:r>
        <w:rPr/>
        <w:t xml:space="preserve"> ("YOLO" or skip-permission modes) approves nothing because it approves everything. The agent's standing credentials become its authority, and the 2024–2026 incident record shows what follows (</w:t>
      </w:r>
      <w:r>
        <w:fldChar w:fldCharType="begin"/>
      </w:r>
      <w:r>
        <w:rPr>
          <w:rStyle w:val="Hyperlink"/>
        </w:rPr>
        <w:instrText xml:space="preserve"> HYPERLINK "../in/agent-governance-market-landscape-2026.md" \l "3-incident-record-20242026"</w:instrText>
      </w:r>
      <w:r>
        <w:rPr>
          <w:rStyle w:val="Hyperlink"/>
        </w:rPr>
        <w:fldChar w:fldCharType="separate"/>
      </w:r>
      <w:r>
        <w:rPr>
          <w:rStyle w:val="Hyperlink"/>
        </w:rPr>
        <w:t>market brief §3</w:t>
      </w:r>
      <w:r>
        <w:rPr>
          <w:rStyle w:val="Hyperlink"/>
        </w:rPr>
        <w:fldChar w:fldCharType="end"/>
      </w:r>
      <w:r>
        <w:rPr/>
        <w:t xml:space="preserve">). </w:t>
      </w:r>
    </w:p>
    <w:p>
      <w:pPr>
        <w:pStyle w:val="BodyText"/>
        <w:bidi w:val="0"/>
        <w:jc w:val="left"/>
        <w:rPr/>
      </w:pPr>
      <w:r>
        <w:rPr/>
        <w:t xml:space="preserve">GPP moves the human or governed decision to the place where it carries information: </w:t>
      </w:r>
      <w:r>
        <w:rPr>
          <w:rStyle w:val="Strong"/>
        </w:rPr>
        <w:t>the decision that admits a class of tool use for a bounded piece of work</w:t>
      </w:r>
      <w:r>
        <w:rPr/>
        <w:t>. One decision, made by the right authority and recorded, authorizes many deterministic tool calls inside a declared envelope. Calls outside the envelope do not reach a human prompt. They are unreachable.</w:t>
      </w:r>
    </w:p>
    <w:p>
      <w:pPr>
        <w:pStyle w:val="BodyText"/>
        <w:bidi w:val="0"/>
        <w:jc w:val="left"/>
        <w:rPr/>
      </w:pPr>
      <w:r>
        <w:rPr/>
        <w:t xml:space="preserve">GPP does not enforce anything at runtime. </w:t>
      </w:r>
      <w:hyperlink r:id="rId3">
        <w:r>
          <w:rPr>
            <w:rStyle w:val="Hyperlink"/>
            <w:rFonts w:ascii="Liberation Mono" w:hAnsi="Liberation Mono" w:eastAsia="Liberation Mono" w:cs="Liberation Mono"/>
          </w:rPr>
          <w:t>TAK</w:t>
        </w:r>
      </w:hyperlink>
      <w:r>
        <w:rPr/>
        <w:t xml:space="preserve"> enforces. </w:t>
      </w:r>
      <w:hyperlink r:id="rId4">
        <w:r>
          <w:rPr>
            <w:rStyle w:val="Hyperlink"/>
            <w:rFonts w:ascii="Liberation Mono" w:hAnsi="Liberation Mono" w:eastAsia="Liberation Mono" w:cs="Liberation Mono"/>
          </w:rPr>
          <w:t>GAID</w:t>
        </w:r>
      </w:hyperlink>
      <w:r>
        <w:rPr/>
        <w:t xml:space="preserve"> identifies the actor and binds the receipt. </w:t>
      </w:r>
      <w:hyperlink r:id="rId5">
        <w:r>
          <w:rPr>
            <w:rStyle w:val="Hyperlink"/>
            <w:rFonts w:ascii="Liberation Mono" w:hAnsi="Liberation Mono" w:eastAsia="Liberation Mono" w:cs="Liberation Mono"/>
          </w:rPr>
          <w:t>TAK-JSI</w:t>
        </w:r>
      </w:hyperlink>
      <w:r>
        <w:rPr/>
        <w:t xml:space="preserve"> qualifies the actor. GPP supplies the model that tells each of them what the governed envelope is, and lets an assessor check that the model is complete, consistent and actually enforced.</w:t>
      </w:r>
    </w:p>
    <w:p>
      <w:pPr>
        <w:pStyle w:val="Heading2"/>
        <w:bidi w:val="0"/>
        <w:jc w:val="left"/>
        <w:rPr/>
      </w:pPr>
      <w:r>
        <w:rPr/>
        <w:t>1. Scope</w:t>
      </w:r>
    </w:p>
    <w:p>
      <w:pPr>
        <w:pStyle w:val="BodyText"/>
        <w:bidi w:val="0"/>
        <w:jc w:val="left"/>
        <w:rPr/>
      </w:pPr>
      <w:r>
        <w:rPr/>
        <w:t>This standard specifies:</w:t>
      </w:r>
    </w:p>
    <w:p>
      <w:pPr>
        <w:pStyle w:val="BodyText"/>
        <w:numPr>
          <w:ilvl w:val="0"/>
          <w:numId w:val="2"/>
        </w:numPr>
        <w:tabs>
          <w:tab w:val="clear" w:pos="1134"/>
          <w:tab w:val="left" w:pos="709" w:leader="none"/>
        </w:tabs>
        <w:bidi w:val="0"/>
        <w:spacing w:before="0" w:after="0"/>
        <w:ind w:hanging="283" w:left="709"/>
        <w:jc w:val="left"/>
        <w:rPr/>
      </w:pPr>
      <w:r>
        <w:rPr/>
        <w:t xml:space="preserve">the Gated Permission binding and its required elements </w:t>
      </w:r>
    </w:p>
    <w:p>
      <w:pPr>
        <w:pStyle w:val="BodyText"/>
        <w:numPr>
          <w:ilvl w:val="0"/>
          <w:numId w:val="2"/>
        </w:numPr>
        <w:tabs>
          <w:tab w:val="clear" w:pos="1134"/>
          <w:tab w:val="left" w:pos="709" w:leader="none"/>
        </w:tabs>
        <w:bidi w:val="0"/>
        <w:spacing w:before="0" w:after="0"/>
        <w:ind w:hanging="283" w:left="709"/>
        <w:jc w:val="left"/>
        <w:rPr/>
      </w:pPr>
      <w:r>
        <w:rPr/>
        <w:t xml:space="preserve">how bindings attach to work shapes, shape stages and Workrooms </w:t>
      </w:r>
    </w:p>
    <w:p>
      <w:pPr>
        <w:pStyle w:val="BodyText"/>
        <w:numPr>
          <w:ilvl w:val="0"/>
          <w:numId w:val="2"/>
        </w:numPr>
        <w:tabs>
          <w:tab w:val="clear" w:pos="1134"/>
          <w:tab w:val="left" w:pos="709" w:leader="none"/>
        </w:tabs>
        <w:bidi w:val="0"/>
        <w:spacing w:before="0" w:after="0"/>
        <w:ind w:hanging="283" w:left="709"/>
        <w:jc w:val="left"/>
        <w:rPr/>
      </w:pPr>
      <w:r>
        <w:rPr/>
        <w:t xml:space="preserve">how a binding names its owning decision scope and gate </w:t>
      </w:r>
    </w:p>
    <w:p>
      <w:pPr>
        <w:pStyle w:val="BodyText"/>
        <w:numPr>
          <w:ilvl w:val="0"/>
          <w:numId w:val="2"/>
        </w:numPr>
        <w:tabs>
          <w:tab w:val="clear" w:pos="1134"/>
          <w:tab w:val="left" w:pos="709" w:leader="none"/>
        </w:tabs>
        <w:bidi w:val="0"/>
        <w:spacing w:before="0" w:after="0"/>
        <w:ind w:hanging="283" w:left="709"/>
        <w:jc w:val="left"/>
        <w:rPr/>
      </w:pPr>
      <w:r>
        <w:rPr/>
        <w:t xml:space="preserve">a shared capability vocabulary that resolves to enforceable tool grants </w:t>
      </w:r>
    </w:p>
    <w:p>
      <w:pPr>
        <w:pStyle w:val="BodyText"/>
        <w:numPr>
          <w:ilvl w:val="0"/>
          <w:numId w:val="2"/>
        </w:numPr>
        <w:tabs>
          <w:tab w:val="clear" w:pos="1134"/>
          <w:tab w:val="left" w:pos="709" w:leader="none"/>
        </w:tabs>
        <w:bidi w:val="0"/>
        <w:spacing w:before="0" w:after="0"/>
        <w:ind w:hanging="283" w:left="709"/>
        <w:jc w:val="left"/>
        <w:rPr/>
      </w:pPr>
      <w:r>
        <w:rPr/>
        <w:t xml:space="preserve">capability co-occurrence constraints </w:t>
      </w:r>
    </w:p>
    <w:p>
      <w:pPr>
        <w:pStyle w:val="BodyText"/>
        <w:numPr>
          <w:ilvl w:val="0"/>
          <w:numId w:val="2"/>
        </w:numPr>
        <w:tabs>
          <w:tab w:val="clear" w:pos="1134"/>
          <w:tab w:val="left" w:pos="709" w:leader="none"/>
        </w:tabs>
        <w:bidi w:val="0"/>
        <w:spacing w:before="0" w:after="0"/>
        <w:ind w:hanging="283" w:left="709"/>
        <w:jc w:val="left"/>
        <w:rPr/>
      </w:pPr>
      <w:r>
        <w:rPr/>
        <w:t xml:space="preserve">reuse, expiry and revocation of a gate decision across the tool calls it admits </w:t>
      </w:r>
    </w:p>
    <w:p>
      <w:pPr>
        <w:pStyle w:val="BodyText"/>
        <w:numPr>
          <w:ilvl w:val="0"/>
          <w:numId w:val="2"/>
        </w:numPr>
        <w:tabs>
          <w:tab w:val="clear" w:pos="1134"/>
          <w:tab w:val="left" w:pos="709" w:leader="none"/>
        </w:tabs>
        <w:bidi w:val="0"/>
        <w:spacing w:before="0" w:after="0"/>
        <w:ind w:hanging="283" w:left="709"/>
        <w:jc w:val="left"/>
        <w:rPr/>
      </w:pPr>
      <w:r>
        <w:rPr/>
        <w:t xml:space="preserve">completeness and consistency checks over a set of bindings </w:t>
      </w:r>
    </w:p>
    <w:p>
      <w:pPr>
        <w:pStyle w:val="BodyText"/>
        <w:numPr>
          <w:ilvl w:val="0"/>
          <w:numId w:val="2"/>
        </w:numPr>
        <w:tabs>
          <w:tab w:val="clear" w:pos="1134"/>
          <w:tab w:val="left" w:pos="709" w:leader="none"/>
        </w:tabs>
        <w:bidi w:val="0"/>
        <w:spacing w:before="0" w:after="0"/>
        <w:ind w:hanging="283" w:left="709"/>
        <w:jc w:val="left"/>
        <w:rPr/>
      </w:pPr>
      <w:r>
        <w:rPr/>
        <w:t xml:space="preserve">evidence and efficacy measures for a GPP implementation </w:t>
      </w:r>
    </w:p>
    <w:p>
      <w:pPr>
        <w:pStyle w:val="BodyText"/>
        <w:numPr>
          <w:ilvl w:val="0"/>
          <w:numId w:val="2"/>
        </w:numPr>
        <w:tabs>
          <w:tab w:val="clear" w:pos="1134"/>
          <w:tab w:val="left" w:pos="709" w:leader="none"/>
        </w:tabs>
        <w:bidi w:val="0"/>
        <w:ind w:hanging="283" w:left="709"/>
        <w:jc w:val="left"/>
        <w:rPr/>
      </w:pPr>
      <w:r>
        <w:rPr/>
        <w:t xml:space="preserve">an informative textual notation and a SysML v2 mapping </w:t>
      </w:r>
    </w:p>
    <w:p>
      <w:pPr>
        <w:pStyle w:val="BodyText"/>
        <w:bidi w:val="0"/>
        <w:jc w:val="left"/>
        <w:rPr/>
      </w:pPr>
      <w:r>
        <w:rPr/>
        <w:t>It applies to:</w:t>
      </w:r>
    </w:p>
    <w:p>
      <w:pPr>
        <w:pStyle w:val="BodyText"/>
        <w:numPr>
          <w:ilvl w:val="0"/>
          <w:numId w:val="3"/>
        </w:numPr>
        <w:tabs>
          <w:tab w:val="clear" w:pos="1134"/>
          <w:tab w:val="left" w:pos="709" w:leader="none"/>
        </w:tabs>
        <w:bidi w:val="0"/>
        <w:spacing w:before="0" w:after="0"/>
        <w:ind w:hanging="283" w:left="709"/>
        <w:jc w:val="left"/>
        <w:rPr/>
      </w:pPr>
      <w:r>
        <w:rPr/>
        <w:t xml:space="preserve">AI coworkers inside a platform </w:t>
      </w:r>
    </w:p>
    <w:p>
      <w:pPr>
        <w:pStyle w:val="BodyText"/>
        <w:numPr>
          <w:ilvl w:val="0"/>
          <w:numId w:val="3"/>
        </w:numPr>
        <w:tabs>
          <w:tab w:val="clear" w:pos="1134"/>
          <w:tab w:val="left" w:pos="709" w:leader="none"/>
        </w:tabs>
        <w:bidi w:val="0"/>
        <w:spacing w:before="0" w:after="0"/>
        <w:ind w:hanging="283" w:left="709"/>
        <w:jc w:val="left"/>
        <w:rPr/>
      </w:pPr>
      <w:r>
        <w:rPr/>
        <w:t xml:space="preserve">external coding agents and other clients reaching the platform through MCP or another tool protocol </w:t>
      </w:r>
    </w:p>
    <w:p>
      <w:pPr>
        <w:pStyle w:val="BodyText"/>
        <w:numPr>
          <w:ilvl w:val="0"/>
          <w:numId w:val="3"/>
        </w:numPr>
        <w:tabs>
          <w:tab w:val="clear" w:pos="1134"/>
          <w:tab w:val="left" w:pos="709" w:leader="none"/>
        </w:tabs>
        <w:bidi w:val="0"/>
        <w:spacing w:before="0" w:after="0"/>
        <w:ind w:hanging="283" w:left="709"/>
        <w:jc w:val="left"/>
        <w:rPr/>
      </w:pPr>
      <w:r>
        <w:rPr/>
        <w:t xml:space="preserve">human-plus-agent Workrooms, finite or standing </w:t>
      </w:r>
    </w:p>
    <w:p>
      <w:pPr>
        <w:pStyle w:val="BodyText"/>
        <w:numPr>
          <w:ilvl w:val="0"/>
          <w:numId w:val="3"/>
        </w:numPr>
        <w:tabs>
          <w:tab w:val="clear" w:pos="1134"/>
          <w:tab w:val="left" w:pos="709" w:leader="none"/>
        </w:tabs>
        <w:bidi w:val="0"/>
        <w:ind w:hanging="283" w:left="709"/>
        <w:jc w:val="left"/>
        <w:rPr/>
      </w:pPr>
      <w:r>
        <w:rPr/>
        <w:t xml:space="preserve">any work shape that can reach a side-effecting tool </w:t>
      </w:r>
    </w:p>
    <w:p>
      <w:pPr>
        <w:pStyle w:val="BodyText"/>
        <w:bidi w:val="0"/>
        <w:jc w:val="left"/>
        <w:rPr/>
      </w:pPr>
      <w:r>
        <w:rPr/>
        <w:t>It does not:</w:t>
      </w:r>
    </w:p>
    <w:p>
      <w:pPr>
        <w:pStyle w:val="BodyText"/>
        <w:numPr>
          <w:ilvl w:val="0"/>
          <w:numId w:val="4"/>
        </w:numPr>
        <w:tabs>
          <w:tab w:val="clear" w:pos="1134"/>
          <w:tab w:val="left" w:pos="709" w:leader="none"/>
        </w:tabs>
        <w:bidi w:val="0"/>
        <w:spacing w:before="0" w:after="0"/>
        <w:ind w:hanging="283" w:left="709"/>
        <w:jc w:val="left"/>
        <w:rPr/>
      </w:pPr>
      <w:r>
        <w:rPr/>
        <w:t xml:space="preserve">define runtime mediation, effective-permission intersection, proposal mode or the default safety rule; </w:t>
      </w:r>
      <w:r>
        <w:rPr>
          <w:rStyle w:val="SourceText"/>
        </w:rPr>
        <w:t>TAK</w:t>
      </w:r>
      <w:r>
        <w:rPr/>
        <w:t xml:space="preserve"> §7.2, §8.4 and §7.12.1 own those </w:t>
      </w:r>
    </w:p>
    <w:p>
      <w:pPr>
        <w:pStyle w:val="BodyText"/>
        <w:numPr>
          <w:ilvl w:val="0"/>
          <w:numId w:val="4"/>
        </w:numPr>
        <w:tabs>
          <w:tab w:val="clear" w:pos="1134"/>
          <w:tab w:val="left" w:pos="709" w:leader="none"/>
        </w:tabs>
        <w:bidi w:val="0"/>
        <w:spacing w:before="0" w:after="0"/>
        <w:ind w:hanging="283" w:left="709"/>
        <w:jc w:val="left"/>
        <w:rPr/>
      </w:pPr>
      <w:r>
        <w:rPr/>
        <w:t xml:space="preserve">define agent identity, operating profiles or receipts; </w:t>
      </w:r>
      <w:r>
        <w:rPr>
          <w:rStyle w:val="SourceText"/>
        </w:rPr>
        <w:t>GAID</w:t>
      </w:r>
      <w:r>
        <w:rPr/>
        <w:t xml:space="preserve"> owns those </w:t>
      </w:r>
    </w:p>
    <w:p>
      <w:pPr>
        <w:pStyle w:val="BodyText"/>
        <w:numPr>
          <w:ilvl w:val="0"/>
          <w:numId w:val="4"/>
        </w:numPr>
        <w:tabs>
          <w:tab w:val="clear" w:pos="1134"/>
          <w:tab w:val="left" w:pos="709" w:leader="none"/>
        </w:tabs>
        <w:bidi w:val="0"/>
        <w:spacing w:before="0" w:after="0"/>
        <w:ind w:hanging="283" w:left="709"/>
        <w:jc w:val="left"/>
        <w:rPr/>
      </w:pPr>
      <w:r>
        <w:rPr/>
        <w:t xml:space="preserve">define job qualification; </w:t>
      </w:r>
      <w:r>
        <w:rPr>
          <w:rStyle w:val="SourceText"/>
        </w:rPr>
        <w:t>TAK-JSI</w:t>
      </w:r>
      <w:r>
        <w:rPr/>
        <w:t xml:space="preserve"> owns that </w:t>
      </w:r>
    </w:p>
    <w:p>
      <w:pPr>
        <w:pStyle w:val="BodyText"/>
        <w:numPr>
          <w:ilvl w:val="0"/>
          <w:numId w:val="4"/>
        </w:numPr>
        <w:tabs>
          <w:tab w:val="clear" w:pos="1134"/>
          <w:tab w:val="left" w:pos="709" w:leader="none"/>
        </w:tabs>
        <w:bidi w:val="0"/>
        <w:spacing w:before="0" w:after="0"/>
        <w:ind w:hanging="283" w:left="709"/>
        <w:jc w:val="left"/>
        <w:rPr/>
      </w:pPr>
      <w:r>
        <w:rPr/>
        <w:t xml:space="preserve">define the doctrine inside a decision scope (WWMD, WWWD, WSID or another implementation's equivalent); the scope owner owns its doctrine </w:t>
      </w:r>
    </w:p>
    <w:p>
      <w:pPr>
        <w:pStyle w:val="BodyText"/>
        <w:numPr>
          <w:ilvl w:val="0"/>
          <w:numId w:val="4"/>
        </w:numPr>
        <w:tabs>
          <w:tab w:val="clear" w:pos="1134"/>
          <w:tab w:val="left" w:pos="709" w:leader="none"/>
        </w:tabs>
        <w:bidi w:val="0"/>
        <w:spacing w:before="0" w:after="0"/>
        <w:ind w:hanging="283" w:left="709"/>
        <w:jc w:val="left"/>
        <w:rPr/>
      </w:pPr>
      <w:r>
        <w:rPr/>
        <w:t xml:space="preserve">prescribe a policy engine, a scoring algorithm or a model vendor </w:t>
      </w:r>
    </w:p>
    <w:p>
      <w:pPr>
        <w:pStyle w:val="BodyText"/>
        <w:numPr>
          <w:ilvl w:val="0"/>
          <w:numId w:val="4"/>
        </w:numPr>
        <w:tabs>
          <w:tab w:val="clear" w:pos="1134"/>
          <w:tab w:val="left" w:pos="709" w:leader="none"/>
        </w:tabs>
        <w:bidi w:val="0"/>
        <w:ind w:hanging="283" w:left="709"/>
        <w:jc w:val="left"/>
        <w:rPr/>
      </w:pPr>
      <w:r>
        <w:rPr/>
        <w:t xml:space="preserve">claim that a complete model makes an agent safe; a model is evidence of intent, and enforcement evidence is separate (§11) </w:t>
      </w:r>
    </w:p>
    <w:p>
      <w:pPr>
        <w:pStyle w:val="Heading2"/>
        <w:bidi w:val="0"/>
        <w:jc w:val="left"/>
        <w:rPr/>
      </w:pPr>
      <w:r>
        <w:rPr/>
        <w:t>2. Conformance</w:t>
      </w:r>
    </w:p>
    <w:p>
      <w:pPr>
        <w:pStyle w:val="BodyText"/>
        <w:bidi w:val="0"/>
        <w:jc w:val="left"/>
        <w:rPr/>
      </w:pPr>
      <w:r>
        <w:rPr/>
        <w:t xml:space="preserve">An implementation conforms only if it satisfies every </w:t>
      </w:r>
      <w:r>
        <w:rPr>
          <w:rStyle w:val="SourceText"/>
        </w:rPr>
        <w:t>MUST</w:t>
      </w:r>
      <w:r>
        <w:rPr/>
        <w:t xml:space="preserve"> for its claimed profile.</w:t>
      </w:r>
    </w:p>
    <w:tbl>
      <w:tblPr>
        <w:tblW w:w="26228" w:type="dxa"/>
        <w:jc w:val="left"/>
        <w:tblInd w:w="0" w:type="dxa"/>
        <w:tblLayout w:type="fixed"/>
        <w:tblCellMar>
          <w:top w:w="28" w:type="dxa"/>
          <w:left w:w="28" w:type="dxa"/>
          <w:bottom w:w="28" w:type="dxa"/>
          <w:right w:w="28" w:type="dxa"/>
        </w:tblCellMar>
      </w:tblPr>
      <w:tblGrid>
        <w:gridCol w:w="1993"/>
        <w:gridCol w:w="24235"/>
      </w:tblGrid>
      <w:tr>
        <w:trPr>
          <w:tblHeader w:val="true"/>
        </w:trPr>
        <w:tc>
          <w:tcPr>
            <w:tcW w:w="1993" w:type="dxa"/>
            <w:tcBorders/>
            <w:vAlign w:val="center"/>
          </w:tcPr>
          <w:p>
            <w:pPr>
              <w:pStyle w:val="TableHeading"/>
              <w:suppressLineNumbers/>
              <w:bidi w:val="0"/>
              <w:spacing w:before="0" w:after="283"/>
              <w:jc w:val="center"/>
              <w:rPr/>
            </w:pPr>
            <w:r>
              <w:rPr/>
              <w:t>Profile</w:t>
            </w:r>
          </w:p>
        </w:tc>
        <w:tc>
          <w:tcPr>
            <w:tcW w:w="24235" w:type="dxa"/>
            <w:tcBorders/>
            <w:vAlign w:val="center"/>
          </w:tcPr>
          <w:p>
            <w:pPr>
              <w:pStyle w:val="TableHeading"/>
              <w:suppressLineNumbers/>
              <w:bidi w:val="0"/>
              <w:spacing w:before="0" w:after="283"/>
              <w:jc w:val="center"/>
              <w:rPr/>
            </w:pPr>
            <w:r>
              <w:rPr/>
              <w:t>Meaning</w:t>
            </w:r>
          </w:p>
        </w:tc>
      </w:tr>
      <w:tr>
        <w:trPr/>
        <w:tc>
          <w:tcPr>
            <w:tcW w:w="1993" w:type="dxa"/>
            <w:tcBorders/>
            <w:vAlign w:val="center"/>
          </w:tcPr>
          <w:p>
            <w:pPr>
              <w:pStyle w:val="TableContents"/>
              <w:bidi w:val="0"/>
              <w:spacing w:before="0" w:after="283"/>
              <w:jc w:val="left"/>
              <w:rPr/>
            </w:pPr>
            <w:r>
              <w:rPr>
                <w:rStyle w:val="SourceText"/>
              </w:rPr>
              <w:t>GPP-Modeled</w:t>
            </w:r>
          </w:p>
        </w:tc>
        <w:tc>
          <w:tcPr>
            <w:tcW w:w="24235" w:type="dxa"/>
            <w:tcBorders/>
            <w:vAlign w:val="center"/>
          </w:tcPr>
          <w:p>
            <w:pPr>
              <w:pStyle w:val="TableContents"/>
              <w:bidi w:val="0"/>
              <w:spacing w:before="0" w:after="283"/>
              <w:jc w:val="left"/>
              <w:rPr/>
            </w:pPr>
            <w:r>
              <w:rPr/>
              <w:t>Every work shape that can reach a consequential tool declares Gated Permissions for each stage. Every capability token resolves to enforceable grants. The completeness and consistency checks in §10 pass. No claim of runtime enforcement is implied.</w:t>
            </w:r>
          </w:p>
        </w:tc>
      </w:tr>
      <w:tr>
        <w:trPr/>
        <w:tc>
          <w:tcPr>
            <w:tcW w:w="1993" w:type="dxa"/>
            <w:tcBorders/>
            <w:vAlign w:val="center"/>
          </w:tcPr>
          <w:p>
            <w:pPr>
              <w:pStyle w:val="TableContents"/>
              <w:bidi w:val="0"/>
              <w:spacing w:before="0" w:after="283"/>
              <w:jc w:val="left"/>
              <w:rPr/>
            </w:pPr>
            <w:r>
              <w:rPr>
                <w:rStyle w:val="SourceText"/>
              </w:rPr>
              <w:t>GPP-Enforced</w:t>
            </w:r>
          </w:p>
        </w:tc>
        <w:tc>
          <w:tcPr>
            <w:tcW w:w="24235" w:type="dxa"/>
            <w:tcBorders/>
            <w:vAlign w:val="center"/>
          </w:tcPr>
          <w:p>
            <w:pPr>
              <w:pStyle w:val="TableContents"/>
              <w:bidi w:val="0"/>
              <w:spacing w:before="0" w:after="283"/>
              <w:jc w:val="left"/>
              <w:rPr/>
            </w:pPr>
            <w:r>
              <w:rPr/>
              <w:t xml:space="preserve">The runtime refuses to make a consequential tool reachable unless a satisfied, current binding covers it. Enforcement mode (enforced, shadow, off) is recorded per binding and is observable. Requires a </w:t>
            </w:r>
            <w:r>
              <w:rPr>
                <w:rStyle w:val="SourceText"/>
              </w:rPr>
              <w:t>TAK</w:t>
            </w:r>
            <w:r>
              <w:rPr/>
              <w:t xml:space="preserve"> profile that implements §7.2 and §8.4.</w:t>
            </w:r>
          </w:p>
        </w:tc>
      </w:tr>
      <w:tr>
        <w:trPr/>
        <w:tc>
          <w:tcPr>
            <w:tcW w:w="1993" w:type="dxa"/>
            <w:tcBorders/>
            <w:vAlign w:val="center"/>
          </w:tcPr>
          <w:p>
            <w:pPr>
              <w:pStyle w:val="TableContents"/>
              <w:bidi w:val="0"/>
              <w:spacing w:before="0" w:after="283"/>
              <w:jc w:val="left"/>
              <w:rPr/>
            </w:pPr>
            <w:r>
              <w:rPr>
                <w:rStyle w:val="SourceText"/>
              </w:rPr>
              <w:t>GPP-Evidenced</w:t>
            </w:r>
          </w:p>
        </w:tc>
        <w:tc>
          <w:tcPr>
            <w:tcW w:w="24235" w:type="dxa"/>
            <w:tcBorders/>
            <w:vAlign w:val="center"/>
          </w:tcPr>
          <w:p>
            <w:pPr>
              <w:pStyle w:val="TableContents"/>
              <w:bidi w:val="0"/>
              <w:spacing w:before="0" w:after="283"/>
              <w:jc w:val="left"/>
              <w:rPr/>
            </w:pPr>
            <w:r>
              <w:rPr/>
              <w:t>The implementation publishes the §11 measures with denominators, evaluation period and environment, and links each published claim to its source records.</w:t>
            </w:r>
          </w:p>
        </w:tc>
      </w:tr>
    </w:tbl>
    <w:p>
      <w:pPr>
        <w:pStyle w:val="BodyText"/>
        <w:bidi w:val="0"/>
        <w:jc w:val="left"/>
        <w:rPr/>
      </w:pPr>
      <w:r>
        <w:rPr/>
        <w:t>An implementation:</w:t>
      </w:r>
    </w:p>
    <w:p>
      <w:pPr>
        <w:pStyle w:val="BodyText"/>
        <w:numPr>
          <w:ilvl w:val="0"/>
          <w:numId w:val="5"/>
        </w:numPr>
        <w:tabs>
          <w:tab w:val="clear" w:pos="1134"/>
          <w:tab w:val="left" w:pos="709" w:leader="none"/>
        </w:tabs>
        <w:bidi w:val="0"/>
        <w:spacing w:before="0" w:after="0"/>
        <w:ind w:hanging="283" w:left="709"/>
        <w:jc w:val="left"/>
        <w:rPr/>
      </w:pPr>
      <w:r>
        <w:rPr>
          <w:rStyle w:val="SourceText"/>
        </w:rPr>
        <w:t>MUST</w:t>
      </w:r>
      <w:r>
        <w:rPr/>
        <w:t xml:space="preserve"> declare the supported GPP version and the highest profile claimed </w:t>
      </w:r>
    </w:p>
    <w:p>
      <w:pPr>
        <w:pStyle w:val="BodyText"/>
        <w:numPr>
          <w:ilvl w:val="0"/>
          <w:numId w:val="5"/>
        </w:numPr>
        <w:tabs>
          <w:tab w:val="clear" w:pos="1134"/>
          <w:tab w:val="left" w:pos="709" w:leader="none"/>
        </w:tabs>
        <w:bidi w:val="0"/>
        <w:spacing w:before="0" w:after="0"/>
        <w:ind w:hanging="283" w:left="709"/>
        <w:jc w:val="left"/>
        <w:rPr/>
      </w:pPr>
      <w:r>
        <w:rPr>
          <w:rStyle w:val="SourceText"/>
        </w:rPr>
        <w:t>MUST NOT</w:t>
      </w:r>
      <w:r>
        <w:rPr/>
        <w:t xml:space="preserve"> claim </w:t>
      </w:r>
      <w:r>
        <w:rPr>
          <w:rStyle w:val="SourceText"/>
        </w:rPr>
        <w:t>GPP-Enforced</w:t>
      </w:r>
      <w:r>
        <w:rPr/>
        <w:t xml:space="preserve"> for a binding whose gate runs in shadow or advisory mode </w:t>
      </w:r>
    </w:p>
    <w:p>
      <w:pPr>
        <w:pStyle w:val="BodyText"/>
        <w:numPr>
          <w:ilvl w:val="0"/>
          <w:numId w:val="5"/>
        </w:numPr>
        <w:tabs>
          <w:tab w:val="clear" w:pos="1134"/>
          <w:tab w:val="left" w:pos="709" w:leader="none"/>
        </w:tabs>
        <w:bidi w:val="0"/>
        <w:ind w:hanging="283" w:left="709"/>
        <w:jc w:val="left"/>
        <w:rPr/>
      </w:pPr>
      <w:r>
        <w:rPr>
          <w:rStyle w:val="SourceText"/>
        </w:rPr>
        <w:t>MUST NOT</w:t>
      </w:r>
      <w:r>
        <w:rPr/>
        <w:t xml:space="preserve"> claim </w:t>
      </w:r>
      <w:r>
        <w:rPr>
          <w:rStyle w:val="SourceText"/>
        </w:rPr>
        <w:t>GPP-Evidenced</w:t>
      </w:r>
      <w:r>
        <w:rPr/>
        <w:t xml:space="preserve"> from a model, a design or a test fixture alone </w:t>
      </w:r>
    </w:p>
    <w:p>
      <w:pPr>
        <w:pStyle w:val="Heading3"/>
        <w:bidi w:val="0"/>
        <w:jc w:val="left"/>
        <w:rPr/>
      </w:pPr>
      <w:r>
        <w:rPr/>
        <w:t>2.1 Versioning</w:t>
      </w:r>
    </w:p>
    <w:p>
      <w:pPr>
        <w:pStyle w:val="BodyText"/>
        <w:bidi w:val="0"/>
        <w:jc w:val="left"/>
        <w:rPr/>
      </w:pPr>
      <w:r>
        <w:rPr/>
        <w:t xml:space="preserve">A binding </w:t>
      </w:r>
      <w:r>
        <w:rPr>
          <w:rStyle w:val="SourceText"/>
        </w:rPr>
        <w:t>MUST</w:t>
      </w:r>
      <w:r>
        <w:rPr/>
        <w:t xml:space="preserve"> carry a version. A change to its scope, gate, capability set, subject scope, validity or stop conditions is a material change and </w:t>
      </w:r>
      <w:r>
        <w:rPr>
          <w:rStyle w:val="SourceText"/>
        </w:rPr>
        <w:t>MUST</w:t>
      </w:r>
      <w:r>
        <w:rPr/>
        <w:t xml:space="preserve"> produce a new version. A gate decision recorded against an earlier version </w:t>
      </w:r>
      <w:r>
        <w:rPr>
          <w:rStyle w:val="SourceText"/>
        </w:rPr>
        <w:t>MUST NOT</w:t>
      </w:r>
      <w:r>
        <w:rPr/>
        <w:t xml:space="preserve"> authorize calls under a later one (§9.3).</w:t>
      </w:r>
    </w:p>
    <w:p>
      <w:pPr>
        <w:pStyle w:val="Heading4"/>
        <w:bidi w:val="0"/>
        <w:jc w:val="left"/>
        <w:rPr/>
      </w:pPr>
      <w:r>
        <w:rPr/>
        <w:t>2.1.1 Binding revision versus shape version</w:t>
      </w:r>
    </w:p>
    <w:p>
      <w:pPr>
        <w:pStyle w:val="BodyText"/>
        <w:bidi w:val="0"/>
        <w:jc w:val="left"/>
        <w:rPr/>
      </w:pPr>
      <w:r>
        <w:rPr/>
        <w:t>Work shapes are often pinned by the work that uses them: a Workroom may claim an exact shape version. If every binding change forced a new shape version, tightening a binding would unbind live work, and implementers would have a reason to avoid tightening. To prevent that:</w:t>
      </w:r>
    </w:p>
    <w:p>
      <w:pPr>
        <w:pStyle w:val="BodyText"/>
        <w:numPr>
          <w:ilvl w:val="0"/>
          <w:numId w:val="6"/>
        </w:numPr>
        <w:tabs>
          <w:tab w:val="clear" w:pos="1134"/>
          <w:tab w:val="left" w:pos="709" w:leader="none"/>
        </w:tabs>
        <w:bidi w:val="0"/>
        <w:spacing w:before="0" w:after="0"/>
        <w:ind w:hanging="283" w:left="709"/>
        <w:jc w:val="left"/>
        <w:rPr/>
      </w:pPr>
      <w:r>
        <w:rPr/>
        <w:t xml:space="preserve">A binding's version </w:t>
      </w:r>
      <w:r>
        <w:rPr>
          <w:rStyle w:val="SourceText"/>
        </w:rPr>
        <w:t>MUST</w:t>
      </w:r>
      <w:r>
        <w:rPr/>
        <w:t xml:space="preserve"> be tracked separately from the version of the work shape it attaches to. </w:t>
      </w:r>
    </w:p>
    <w:p>
      <w:pPr>
        <w:pStyle w:val="BodyText"/>
        <w:numPr>
          <w:ilvl w:val="0"/>
          <w:numId w:val="6"/>
        </w:numPr>
        <w:tabs>
          <w:tab w:val="clear" w:pos="1134"/>
          <w:tab w:val="left" w:pos="709" w:leader="none"/>
        </w:tabs>
        <w:bidi w:val="0"/>
        <w:spacing w:before="0" w:after="0"/>
        <w:ind w:hanging="283" w:left="709"/>
        <w:jc w:val="left"/>
        <w:rPr/>
      </w:pPr>
      <w:r>
        <w:rPr/>
        <w:t xml:space="preserve">A revision that only </w:t>
      </w:r>
      <w:r>
        <w:rPr>
          <w:rStyle w:val="Strong"/>
        </w:rPr>
        <w:t>narrows</w:t>
      </w:r>
      <w:r>
        <w:rPr/>
        <w:t xml:space="preserve"> a binding — removes a capability, shrinks the subject scope, shortens validity, or adds a stop condition or precondition — </w:t>
      </w:r>
      <w:r>
        <w:rPr>
          <w:rStyle w:val="SourceText"/>
        </w:rPr>
        <w:t>MAY</w:t>
      </w:r>
      <w:r>
        <w:rPr/>
        <w:t xml:space="preserve"> apply to work pinned to the existing shape version, and </w:t>
      </w:r>
      <w:r>
        <w:rPr>
          <w:rStyle w:val="SourceText"/>
        </w:rPr>
        <w:t>MUST</w:t>
      </w:r>
      <w:r>
        <w:rPr/>
        <w:t xml:space="preserve"> take effect at the next reach (§9.3). </w:t>
      </w:r>
    </w:p>
    <w:p>
      <w:pPr>
        <w:pStyle w:val="BodyText"/>
        <w:numPr>
          <w:ilvl w:val="0"/>
          <w:numId w:val="6"/>
        </w:numPr>
        <w:tabs>
          <w:tab w:val="clear" w:pos="1134"/>
          <w:tab w:val="left" w:pos="709" w:leader="none"/>
        </w:tabs>
        <w:bidi w:val="0"/>
        <w:spacing w:before="0" w:after="0"/>
        <w:ind w:hanging="283" w:left="709"/>
        <w:jc w:val="left"/>
        <w:rPr/>
      </w:pPr>
      <w:r>
        <w:rPr/>
        <w:t xml:space="preserve">A revision that </w:t>
      </w:r>
      <w:r>
        <w:rPr>
          <w:rStyle w:val="Strong"/>
        </w:rPr>
        <w:t>makes explicit</w:t>
      </w:r>
      <w:r>
        <w:rPr/>
        <w:t xml:space="preserve"> a capability already reachable under the binding's current effective envelope </w:t>
      </w:r>
      <w:r>
        <w:rPr>
          <w:rStyle w:val="SourceText"/>
        </w:rPr>
        <w:t>MAY</w:t>
      </w:r>
      <w:r>
        <w:rPr/>
        <w:t xml:space="preserve"> apply without a shape version change. It </w:t>
      </w:r>
      <w:r>
        <w:rPr>
          <w:rStyle w:val="SourceText"/>
        </w:rPr>
        <w:t>MUST</w:t>
      </w:r>
      <w:r>
        <w:rPr/>
        <w:t xml:space="preserve"> be recorded with its date and author, and C-6 reach reconciliation (§10) </w:t>
      </w:r>
      <w:r>
        <w:rPr>
          <w:rStyle w:val="SourceText"/>
        </w:rPr>
        <w:t>MUST</w:t>
      </w:r>
      <w:r>
        <w:rPr/>
        <w:t xml:space="preserve"> confirm that the declaration did not widen reach. </w:t>
      </w:r>
    </w:p>
    <w:p>
      <w:pPr>
        <w:pStyle w:val="BodyText"/>
        <w:numPr>
          <w:ilvl w:val="0"/>
          <w:numId w:val="6"/>
        </w:numPr>
        <w:tabs>
          <w:tab w:val="clear" w:pos="1134"/>
          <w:tab w:val="left" w:pos="709" w:leader="none"/>
        </w:tabs>
        <w:bidi w:val="0"/>
        <w:ind w:hanging="283" w:left="709"/>
        <w:jc w:val="left"/>
        <w:rPr/>
      </w:pPr>
      <w:r>
        <w:rPr/>
        <w:t xml:space="preserve">A revision that </w:t>
      </w:r>
      <w:r>
        <w:rPr>
          <w:rStyle w:val="Strong"/>
        </w:rPr>
        <w:t>widens</w:t>
      </w:r>
      <w:r>
        <w:rPr/>
        <w:t xml:space="preserve"> the effective envelope </w:t>
      </w:r>
      <w:r>
        <w:rPr>
          <w:rStyle w:val="SourceText"/>
        </w:rPr>
        <w:t>MUST</w:t>
      </w:r>
      <w:r>
        <w:rPr/>
        <w:t xml:space="preserve"> produce a new binding version, and </w:t>
      </w:r>
      <w:r>
        <w:rPr>
          <w:rStyle w:val="SourceText"/>
        </w:rPr>
        <w:t>MUST NOT</w:t>
      </w:r>
      <w:r>
        <w:rPr/>
        <w:t xml:space="preserve"> authorize calls for work admitted under an earlier version until that work's gate is resolved again for the new version. </w:t>
      </w:r>
    </w:p>
    <w:p>
      <w:pPr>
        <w:pStyle w:val="Heading2"/>
        <w:bidi w:val="0"/>
        <w:jc w:val="left"/>
        <w:rPr/>
      </w:pPr>
      <w:r>
        <w:rPr/>
        <w:t>3. References</w:t>
      </w:r>
    </w:p>
    <w:p>
      <w:pPr>
        <w:pStyle w:val="Heading3"/>
        <w:bidi w:val="0"/>
        <w:jc w:val="left"/>
        <w:rPr/>
      </w:pPr>
      <w:r>
        <w:rPr/>
        <w:t>3.1 Normative references</w:t>
      </w:r>
    </w:p>
    <w:p>
      <w:pPr>
        <w:pStyle w:val="BodyText"/>
        <w:numPr>
          <w:ilvl w:val="0"/>
          <w:numId w:val="7"/>
        </w:numPr>
        <w:tabs>
          <w:tab w:val="clear" w:pos="1134"/>
          <w:tab w:val="left" w:pos="709" w:leader="none"/>
        </w:tabs>
        <w:bidi w:val="0"/>
        <w:spacing w:before="0" w:after="0"/>
        <w:ind w:hanging="283" w:left="709"/>
        <w:jc w:val="left"/>
        <w:rPr/>
      </w:pPr>
      <w:hyperlink r:id="rId6">
        <w:r>
          <w:rPr>
            <w:rStyle w:val="Hyperlink"/>
          </w:rPr>
          <w:t>Trusted AI Kernel (</w:t>
        </w:r>
        <w:r>
          <w:rPr>
            <w:rStyle w:val="Hyperlink"/>
            <w:rFonts w:ascii="Liberation Mono" w:hAnsi="Liberation Mono" w:eastAsia="Liberation Mono" w:cs="Liberation Mono"/>
          </w:rPr>
          <w:t>TAK</w:t>
        </w:r>
        <w:r>
          <w:rPr>
            <w:rStyle w:val="Hyperlink"/>
          </w:rPr>
          <w:t>)</w:t>
        </w:r>
      </w:hyperlink>
      <w:r>
        <w:rPr/>
        <w:t xml:space="preserve">: §7.2 effective permission, §7.12.1 autonomy bounded by gate coverage, §7.13 principle-directed decision contract, §8.1 tool definitions, §8.4 default safety rule, §8.11 governed activity shapes </w:t>
      </w:r>
    </w:p>
    <w:p>
      <w:pPr>
        <w:pStyle w:val="BodyText"/>
        <w:numPr>
          <w:ilvl w:val="0"/>
          <w:numId w:val="7"/>
        </w:numPr>
        <w:tabs>
          <w:tab w:val="clear" w:pos="1134"/>
          <w:tab w:val="left" w:pos="709" w:leader="none"/>
        </w:tabs>
        <w:bidi w:val="0"/>
        <w:spacing w:before="0" w:after="0"/>
        <w:ind w:hanging="283" w:left="709"/>
        <w:jc w:val="left"/>
        <w:rPr/>
      </w:pPr>
      <w:hyperlink r:id="rId7">
        <w:r>
          <w:rPr>
            <w:rStyle w:val="Hyperlink"/>
          </w:rPr>
          <w:t>Global AI Agent Identification and Governance (</w:t>
        </w:r>
        <w:r>
          <w:rPr>
            <w:rStyle w:val="Hyperlink"/>
            <w:rFonts w:ascii="Liberation Mono" w:hAnsi="Liberation Mono" w:eastAsia="Liberation Mono" w:cs="Liberation Mono"/>
          </w:rPr>
          <w:t>GAID</w:t>
        </w:r>
        <w:r>
          <w:rPr>
            <w:rStyle w:val="Hyperlink"/>
          </w:rPr>
          <w:t>)</w:t>
        </w:r>
      </w:hyperlink>
      <w:r>
        <w:rPr/>
        <w:t xml:space="preserve">: §10 receipts, §10.2.1 principle-directed execution binding </w:t>
      </w:r>
    </w:p>
    <w:p>
      <w:pPr>
        <w:pStyle w:val="BodyText"/>
        <w:numPr>
          <w:ilvl w:val="0"/>
          <w:numId w:val="7"/>
        </w:numPr>
        <w:tabs>
          <w:tab w:val="clear" w:pos="1134"/>
          <w:tab w:val="left" w:pos="709" w:leader="none"/>
        </w:tabs>
        <w:bidi w:val="0"/>
        <w:ind w:hanging="283" w:left="709"/>
        <w:jc w:val="left"/>
        <w:rPr/>
      </w:pPr>
      <w:hyperlink r:id="rId8">
        <w:r>
          <w:rPr>
            <w:rStyle w:val="Hyperlink"/>
          </w:rPr>
          <w:t>Job-Specific Intelligence (</w:t>
        </w:r>
        <w:r>
          <w:rPr>
            <w:rStyle w:val="Hyperlink"/>
            <w:rFonts w:ascii="Liberation Mono" w:hAnsi="Liberation Mono" w:eastAsia="Liberation Mono" w:cs="Liberation Mono"/>
          </w:rPr>
          <w:t>TAK-JSI</w:t>
        </w:r>
        <w:r>
          <w:rPr>
            <w:rStyle w:val="Hyperlink"/>
          </w:rPr>
          <w:t>)</w:t>
        </w:r>
      </w:hyperlink>
      <w:r>
        <w:rPr/>
        <w:t xml:space="preserve">: §8.4 qualification of principle-directed work, §14 qualification and earned autonomy </w:t>
      </w:r>
    </w:p>
    <w:p>
      <w:pPr>
        <w:pStyle w:val="Heading3"/>
        <w:bidi w:val="0"/>
        <w:jc w:val="left"/>
        <w:rPr/>
      </w:pPr>
      <w:r>
        <w:rPr/>
        <w:t>3.2 Informative references</w:t>
      </w:r>
    </w:p>
    <w:p>
      <w:pPr>
        <w:pStyle w:val="BodyText"/>
        <w:numPr>
          <w:ilvl w:val="0"/>
          <w:numId w:val="8"/>
        </w:numPr>
        <w:tabs>
          <w:tab w:val="clear" w:pos="1134"/>
          <w:tab w:val="left" w:pos="709" w:leader="none"/>
        </w:tabs>
        <w:bidi w:val="0"/>
        <w:spacing w:before="0" w:after="0"/>
        <w:ind w:hanging="283" w:left="709"/>
        <w:jc w:val="left"/>
        <w:rPr/>
      </w:pPr>
      <w:hyperlink r:id="rId9">
        <w:r>
          <w:rPr>
            <w:rStyle w:val="Hyperlink"/>
          </w:rPr>
          <w:t>Market and thought-leadership landscape (2026)</w:t>
        </w:r>
      </w:hyperlink>
      <w:r>
        <w:rPr/>
        <w:t xml:space="preserve"> </w:t>
      </w:r>
    </w:p>
    <w:p>
      <w:pPr>
        <w:pStyle w:val="BodyText"/>
        <w:numPr>
          <w:ilvl w:val="0"/>
          <w:numId w:val="8"/>
        </w:numPr>
        <w:tabs>
          <w:tab w:val="clear" w:pos="1134"/>
          <w:tab w:val="left" w:pos="709" w:leader="none"/>
        </w:tabs>
        <w:bidi w:val="0"/>
        <w:spacing w:before="0" w:after="0"/>
        <w:ind w:hanging="283" w:left="709"/>
        <w:jc w:val="left"/>
        <w:rPr/>
      </w:pPr>
      <w:hyperlink r:id="rId10">
        <w:r>
          <w:rPr>
            <w:rStyle w:val="Hyperlink"/>
          </w:rPr>
          <w:t>External standards alignment</w:t>
        </w:r>
      </w:hyperlink>
      <w:r>
        <w:rPr/>
        <w:t xml:space="preserve"> </w:t>
      </w:r>
    </w:p>
    <w:p>
      <w:pPr>
        <w:pStyle w:val="BodyText"/>
        <w:numPr>
          <w:ilvl w:val="0"/>
          <w:numId w:val="8"/>
        </w:numPr>
        <w:tabs>
          <w:tab w:val="clear" w:pos="1134"/>
          <w:tab w:val="left" w:pos="709" w:leader="none"/>
        </w:tabs>
        <w:bidi w:val="0"/>
        <w:spacing w:before="0" w:after="0"/>
        <w:ind w:hanging="283" w:left="709"/>
        <w:jc w:val="left"/>
        <w:rPr/>
      </w:pPr>
      <w:hyperlink r:id="rId11">
        <w:r>
          <w:rPr>
            <w:rStyle w:val="Hyperlink"/>
          </w:rPr>
          <w:t>Work shapes and the decision gate</w:t>
        </w:r>
      </w:hyperlink>
      <w:r>
        <w:rPr/>
        <w:t xml:space="preserve"> </w:t>
      </w:r>
    </w:p>
    <w:p>
      <w:pPr>
        <w:pStyle w:val="BodyText"/>
        <w:numPr>
          <w:ilvl w:val="0"/>
          <w:numId w:val="8"/>
        </w:numPr>
        <w:tabs>
          <w:tab w:val="clear" w:pos="1134"/>
          <w:tab w:val="left" w:pos="709" w:leader="none"/>
        </w:tabs>
        <w:bidi w:val="0"/>
        <w:spacing w:before="0" w:after="0"/>
        <w:ind w:hanging="283" w:left="709"/>
        <w:jc w:val="left"/>
        <w:rPr/>
      </w:pPr>
      <w:hyperlink r:id="rId12">
        <w:r>
          <w:rPr>
            <w:rStyle w:val="Hyperlink"/>
          </w:rPr>
          <w:t>Principle-directed composition design</w:t>
        </w:r>
      </w:hyperlink>
      <w:r>
        <w:rPr/>
        <w:t xml:space="preserve"> </w:t>
      </w:r>
    </w:p>
    <w:p>
      <w:pPr>
        <w:pStyle w:val="BodyText"/>
        <w:numPr>
          <w:ilvl w:val="0"/>
          <w:numId w:val="8"/>
        </w:numPr>
        <w:tabs>
          <w:tab w:val="clear" w:pos="1134"/>
          <w:tab w:val="left" w:pos="709" w:leader="none"/>
        </w:tabs>
        <w:bidi w:val="0"/>
        <w:spacing w:before="0" w:after="0"/>
        <w:ind w:hanging="283" w:left="709"/>
        <w:jc w:val="left"/>
        <w:rPr/>
      </w:pPr>
      <w:r>
        <w:rPr/>
        <w:t xml:space="preserve">OMG SysML v2 / KerML, DMN 1.5, BPMN 2.0.2, CMMN 1.1; W3C PROV-O </w:t>
      </w:r>
    </w:p>
    <w:p>
      <w:pPr>
        <w:pStyle w:val="BodyText"/>
        <w:numPr>
          <w:ilvl w:val="0"/>
          <w:numId w:val="8"/>
        </w:numPr>
        <w:tabs>
          <w:tab w:val="clear" w:pos="1134"/>
          <w:tab w:val="left" w:pos="709" w:leader="none"/>
        </w:tabs>
        <w:bidi w:val="0"/>
        <w:spacing w:before="0" w:after="0"/>
        <w:ind w:hanging="283" w:left="709"/>
        <w:jc w:val="left"/>
        <w:rPr/>
      </w:pPr>
      <w:r>
        <w:rPr/>
        <w:t xml:space="preserve">OWASP LLM06:2025 </w:t>
      </w:r>
      <w:r>
        <w:rPr>
          <w:rStyle w:val="Emphasis"/>
        </w:rPr>
        <w:t>Excessive Agency</w:t>
      </w:r>
      <w:r>
        <w:rPr/>
        <w:t xml:space="preserve">; OWASP Top 10 for Agentic Applications 2026 </w:t>
      </w:r>
    </w:p>
    <w:p>
      <w:pPr>
        <w:pStyle w:val="BodyText"/>
        <w:numPr>
          <w:ilvl w:val="0"/>
          <w:numId w:val="8"/>
        </w:numPr>
        <w:tabs>
          <w:tab w:val="clear" w:pos="1134"/>
          <w:tab w:val="left" w:pos="709" w:leader="none"/>
        </w:tabs>
        <w:bidi w:val="0"/>
        <w:spacing w:before="0" w:after="0"/>
        <w:ind w:hanging="283" w:left="709"/>
        <w:jc w:val="left"/>
        <w:rPr/>
      </w:pPr>
      <w:r>
        <w:rPr/>
        <w:t xml:space="preserve">Meta, </w:t>
      </w:r>
      <w:r>
        <w:rPr>
          <w:rStyle w:val="Emphasis"/>
        </w:rPr>
        <w:t>Agents Rule of Two</w:t>
      </w:r>
      <w:r>
        <w:rPr/>
        <w:t xml:space="preserve">; Simon Willison, </w:t>
      </w:r>
      <w:r>
        <w:rPr>
          <w:rStyle w:val="Emphasis"/>
        </w:rPr>
        <w:t>The lethal trifecta</w:t>
      </w:r>
      <w:r>
        <w:rPr/>
        <w:t xml:space="preserve"> </w:t>
      </w:r>
    </w:p>
    <w:p>
      <w:pPr>
        <w:pStyle w:val="BodyText"/>
        <w:numPr>
          <w:ilvl w:val="0"/>
          <w:numId w:val="8"/>
        </w:numPr>
        <w:tabs>
          <w:tab w:val="clear" w:pos="1134"/>
          <w:tab w:val="left" w:pos="709" w:leader="none"/>
        </w:tabs>
        <w:bidi w:val="0"/>
        <w:ind w:hanging="283" w:left="709"/>
        <w:jc w:val="left"/>
        <w:rPr/>
      </w:pPr>
      <w:r>
        <w:rPr/>
        <w:t xml:space="preserve">EU AI Act Article 14 (human oversight) </w:t>
      </w:r>
    </w:p>
    <w:p>
      <w:pPr>
        <w:pStyle w:val="Heading3"/>
        <w:bidi w:val="0"/>
        <w:jc w:val="left"/>
        <w:rPr/>
      </w:pPr>
      <w:r>
        <w:rPr/>
        <w:t>3.3 Reuse rule</w:t>
      </w:r>
    </w:p>
    <w:p>
      <w:pPr>
        <w:pStyle w:val="BodyText"/>
        <w:bidi w:val="0"/>
        <w:jc w:val="left"/>
        <w:rPr/>
      </w:pPr>
      <w:r>
        <w:rPr/>
        <w:t>When a requirement already lives in TAK, GAID or TAK-JSI, GPP references it and does not restate it. A GPP clause that appears to duplicate one of them is a defect in GPP.</w:t>
      </w:r>
    </w:p>
    <w:p>
      <w:pPr>
        <w:pStyle w:val="Heading2"/>
        <w:bidi w:val="0"/>
        <w:jc w:val="left"/>
        <w:rPr/>
      </w:pPr>
      <w:r>
        <w:rPr/>
        <w:t>4. Terms and definitions</w:t>
      </w:r>
    </w:p>
    <w:tbl>
      <w:tblPr>
        <w:tblW w:w="23951" w:type="dxa"/>
        <w:jc w:val="left"/>
        <w:tblInd w:w="0" w:type="dxa"/>
        <w:tblLayout w:type="fixed"/>
        <w:tblCellMar>
          <w:top w:w="28" w:type="dxa"/>
          <w:left w:w="28" w:type="dxa"/>
          <w:bottom w:w="28" w:type="dxa"/>
          <w:right w:w="28" w:type="dxa"/>
        </w:tblCellMar>
      </w:tblPr>
      <w:tblGrid>
        <w:gridCol w:w="1820"/>
        <w:gridCol w:w="22131"/>
      </w:tblGrid>
      <w:tr>
        <w:trPr>
          <w:tblHeader w:val="true"/>
        </w:trPr>
        <w:tc>
          <w:tcPr>
            <w:tcW w:w="1820" w:type="dxa"/>
            <w:tcBorders/>
            <w:vAlign w:val="center"/>
          </w:tcPr>
          <w:p>
            <w:pPr>
              <w:pStyle w:val="TableHeading"/>
              <w:suppressLineNumbers/>
              <w:bidi w:val="0"/>
              <w:spacing w:before="0" w:after="283"/>
              <w:jc w:val="center"/>
              <w:rPr/>
            </w:pPr>
            <w:r>
              <w:rPr/>
              <w:t>Term</w:t>
            </w:r>
          </w:p>
        </w:tc>
        <w:tc>
          <w:tcPr>
            <w:tcW w:w="22131" w:type="dxa"/>
            <w:tcBorders/>
            <w:vAlign w:val="center"/>
          </w:tcPr>
          <w:p>
            <w:pPr>
              <w:pStyle w:val="TableHeading"/>
              <w:suppressLineNumbers/>
              <w:bidi w:val="0"/>
              <w:spacing w:before="0" w:after="283"/>
              <w:jc w:val="center"/>
              <w:rPr/>
            </w:pPr>
            <w:r>
              <w:rPr/>
              <w:t>Definition</w:t>
            </w:r>
          </w:p>
        </w:tc>
      </w:tr>
      <w:tr>
        <w:trPr/>
        <w:tc>
          <w:tcPr>
            <w:tcW w:w="1820" w:type="dxa"/>
            <w:tcBorders/>
            <w:vAlign w:val="center"/>
          </w:tcPr>
          <w:p>
            <w:pPr>
              <w:pStyle w:val="TableContents"/>
              <w:bidi w:val="0"/>
              <w:spacing w:before="0" w:after="283"/>
              <w:jc w:val="left"/>
              <w:rPr/>
            </w:pPr>
            <w:r>
              <w:rPr/>
              <w:t>Decision scope</w:t>
            </w:r>
          </w:p>
        </w:tc>
        <w:tc>
          <w:tcPr>
            <w:tcW w:w="22131" w:type="dxa"/>
            <w:tcBorders/>
            <w:vAlign w:val="center"/>
          </w:tcPr>
          <w:p>
            <w:pPr>
              <w:pStyle w:val="TableContents"/>
              <w:bidi w:val="0"/>
              <w:spacing w:before="0" w:after="283"/>
              <w:jc w:val="left"/>
              <w:rPr/>
            </w:pPr>
            <w:r>
              <w:rPr/>
              <w:t xml:space="preserve">The authority domain that owns a class of judgment. DPF binds three: </w:t>
            </w:r>
            <w:r>
              <w:rPr>
                <w:rStyle w:val="Strong"/>
              </w:rPr>
              <w:t>WWMD</w:t>
            </w:r>
            <w:r>
              <w:rPr/>
              <w:t xml:space="preserve"> (platform direction), </w:t>
            </w:r>
            <w:r>
              <w:rPr>
                <w:rStyle w:val="Strong"/>
              </w:rPr>
              <w:t>WWWD</w:t>
            </w:r>
            <w:r>
              <w:rPr/>
              <w:t xml:space="preserve"> (the organization's business choices), </w:t>
            </w:r>
            <w:r>
              <w:rPr>
                <w:rStyle w:val="Strong"/>
              </w:rPr>
              <w:t>WSID</w:t>
            </w:r>
            <w:r>
              <w:rPr/>
              <w:t xml:space="preserve"> (profession and craft judgment). Other implementations name their own.</w:t>
            </w:r>
          </w:p>
        </w:tc>
      </w:tr>
      <w:tr>
        <w:trPr/>
        <w:tc>
          <w:tcPr>
            <w:tcW w:w="1820" w:type="dxa"/>
            <w:tcBorders/>
            <w:vAlign w:val="center"/>
          </w:tcPr>
          <w:p>
            <w:pPr>
              <w:pStyle w:val="TableContents"/>
              <w:bidi w:val="0"/>
              <w:spacing w:before="0" w:after="283"/>
              <w:jc w:val="left"/>
              <w:rPr/>
            </w:pPr>
            <w:r>
              <w:rPr/>
              <w:t>Gate</w:t>
            </w:r>
          </w:p>
        </w:tc>
        <w:tc>
          <w:tcPr>
            <w:tcW w:w="22131" w:type="dxa"/>
            <w:tcBorders/>
            <w:vAlign w:val="center"/>
          </w:tcPr>
          <w:p>
            <w:pPr>
              <w:pStyle w:val="TableContents"/>
              <w:bidi w:val="0"/>
              <w:spacing w:before="0" w:after="283"/>
              <w:jc w:val="left"/>
              <w:rPr/>
            </w:pPr>
            <w:r>
              <w:rPr/>
              <w:t xml:space="preserve">A decision point inside a scope that resolves to </w:t>
            </w:r>
            <w:r>
              <w:rPr>
                <w:rStyle w:val="SourceText"/>
              </w:rPr>
              <w:t>admit</w:t>
            </w:r>
            <w:r>
              <w:rPr/>
              <w:t xml:space="preserve">, </w:t>
            </w:r>
            <w:r>
              <w:rPr>
                <w:rStyle w:val="SourceText"/>
              </w:rPr>
              <w:t>refuse</w:t>
            </w:r>
            <w:r>
              <w:rPr/>
              <w:t xml:space="preserve">, </w:t>
            </w:r>
            <w:r>
              <w:rPr>
                <w:rStyle w:val="SourceText"/>
              </w:rPr>
              <w:t>hold</w:t>
            </w:r>
            <w:r>
              <w:rPr/>
              <w:t xml:space="preserve"> (missing evidence) or </w:t>
            </w:r>
            <w:r>
              <w:rPr>
                <w:rStyle w:val="SourceText"/>
              </w:rPr>
              <w:t>escalate</w:t>
            </w:r>
            <w:r>
              <w:rPr/>
              <w:t xml:space="preserve"> (missing authority). A gate can be resolved by doctrine, by an accountable human, or by both.</w:t>
            </w:r>
          </w:p>
        </w:tc>
      </w:tr>
      <w:tr>
        <w:trPr/>
        <w:tc>
          <w:tcPr>
            <w:tcW w:w="1820" w:type="dxa"/>
            <w:tcBorders/>
            <w:vAlign w:val="center"/>
          </w:tcPr>
          <w:p>
            <w:pPr>
              <w:pStyle w:val="TableContents"/>
              <w:bidi w:val="0"/>
              <w:spacing w:before="0" w:after="283"/>
              <w:jc w:val="left"/>
              <w:rPr/>
            </w:pPr>
            <w:r>
              <w:rPr/>
              <w:t>Capability</w:t>
            </w:r>
          </w:p>
        </w:tc>
        <w:tc>
          <w:tcPr>
            <w:tcW w:w="22131" w:type="dxa"/>
            <w:tcBorders/>
            <w:vAlign w:val="center"/>
          </w:tcPr>
          <w:p>
            <w:pPr>
              <w:pStyle w:val="TableContents"/>
              <w:bidi w:val="0"/>
              <w:spacing w:before="0" w:after="283"/>
              <w:jc w:val="left"/>
              <w:rPr/>
            </w:pPr>
            <w:r>
              <w:rPr/>
              <w:t xml:space="preserve">A named class of tool use, such as </w:t>
            </w:r>
            <w:r>
              <w:rPr>
                <w:rStyle w:val="SourceText"/>
              </w:rPr>
              <w:t>read</w:t>
            </w:r>
            <w:r>
              <w:rPr/>
              <w:t xml:space="preserve">, </w:t>
            </w:r>
            <w:r>
              <w:rPr>
                <w:rStyle w:val="SourceText"/>
              </w:rPr>
              <w:t>write-source</w:t>
            </w:r>
            <w:r>
              <w:rPr/>
              <w:t xml:space="preserve">, </w:t>
            </w:r>
            <w:r>
              <w:rPr>
                <w:rStyle w:val="SourceText"/>
              </w:rPr>
              <w:t>outward-publish</w:t>
            </w:r>
            <w:r>
              <w:rPr/>
              <w:t xml:space="preserve"> or </w:t>
            </w:r>
            <w:r>
              <w:rPr>
                <w:rStyle w:val="SourceText"/>
              </w:rPr>
              <w:t>money-out</w:t>
            </w:r>
            <w:r>
              <w:rPr/>
              <w:t>. A capability resolves to one or more enforceable tool grants.</w:t>
            </w:r>
          </w:p>
        </w:tc>
      </w:tr>
      <w:tr>
        <w:trPr/>
        <w:tc>
          <w:tcPr>
            <w:tcW w:w="1820" w:type="dxa"/>
            <w:tcBorders/>
            <w:vAlign w:val="center"/>
          </w:tcPr>
          <w:p>
            <w:pPr>
              <w:pStyle w:val="TableContents"/>
              <w:bidi w:val="0"/>
              <w:spacing w:before="0" w:after="283"/>
              <w:jc w:val="left"/>
              <w:rPr/>
            </w:pPr>
            <w:r>
              <w:rPr/>
              <w:t>Work shape</w:t>
            </w:r>
          </w:p>
        </w:tc>
        <w:tc>
          <w:tcPr>
            <w:tcW w:w="22131" w:type="dxa"/>
            <w:tcBorders/>
            <w:vAlign w:val="center"/>
          </w:tcPr>
          <w:p>
            <w:pPr>
              <w:pStyle w:val="TableContents"/>
              <w:bidi w:val="0"/>
              <w:spacing w:before="0" w:after="283"/>
              <w:jc w:val="left"/>
              <w:rPr/>
            </w:pPr>
            <w:r>
              <w:rPr/>
              <w:t>A versioned definition of governed work: triggers, stages, advance conditions, stop conditions, review point and evidence (TAK §8.11).</w:t>
            </w:r>
          </w:p>
        </w:tc>
      </w:tr>
      <w:tr>
        <w:trPr/>
        <w:tc>
          <w:tcPr>
            <w:tcW w:w="1820" w:type="dxa"/>
            <w:tcBorders/>
            <w:vAlign w:val="center"/>
          </w:tcPr>
          <w:p>
            <w:pPr>
              <w:pStyle w:val="TableContents"/>
              <w:bidi w:val="0"/>
              <w:spacing w:before="0" w:after="283"/>
              <w:jc w:val="left"/>
              <w:rPr/>
            </w:pPr>
            <w:r>
              <w:rPr/>
              <w:t>Stage</w:t>
            </w:r>
          </w:p>
        </w:tc>
        <w:tc>
          <w:tcPr>
            <w:tcW w:w="22131" w:type="dxa"/>
            <w:tcBorders/>
            <w:vAlign w:val="center"/>
          </w:tcPr>
          <w:p>
            <w:pPr>
              <w:pStyle w:val="TableContents"/>
              <w:bidi w:val="0"/>
              <w:spacing w:before="0" w:after="283"/>
              <w:jc w:val="left"/>
              <w:rPr/>
            </w:pPr>
            <w:r>
              <w:rPr/>
              <w:t>One step of a work shape with an accountable principal and an advance condition.</w:t>
            </w:r>
          </w:p>
        </w:tc>
      </w:tr>
      <w:tr>
        <w:trPr/>
        <w:tc>
          <w:tcPr>
            <w:tcW w:w="1820" w:type="dxa"/>
            <w:tcBorders/>
            <w:vAlign w:val="center"/>
          </w:tcPr>
          <w:p>
            <w:pPr>
              <w:pStyle w:val="TableContents"/>
              <w:bidi w:val="0"/>
              <w:spacing w:before="0" w:after="283"/>
              <w:jc w:val="left"/>
              <w:rPr/>
            </w:pPr>
            <w:r>
              <w:rPr/>
              <w:t>Gated Permission</w:t>
            </w:r>
          </w:p>
        </w:tc>
        <w:tc>
          <w:tcPr>
            <w:tcW w:w="22131" w:type="dxa"/>
            <w:tcBorders/>
            <w:vAlign w:val="center"/>
          </w:tcPr>
          <w:p>
            <w:pPr>
              <w:pStyle w:val="TableContents"/>
              <w:bidi w:val="0"/>
              <w:spacing w:before="0" w:after="283"/>
              <w:jc w:val="left"/>
              <w:rPr/>
            </w:pPr>
            <w:r>
              <w:rPr/>
              <w:t>The binding of a gate to a capability set for a shape stage (§7).</w:t>
            </w:r>
          </w:p>
        </w:tc>
      </w:tr>
      <w:tr>
        <w:trPr/>
        <w:tc>
          <w:tcPr>
            <w:tcW w:w="1820" w:type="dxa"/>
            <w:tcBorders/>
            <w:vAlign w:val="center"/>
          </w:tcPr>
          <w:p>
            <w:pPr>
              <w:pStyle w:val="TableContents"/>
              <w:bidi w:val="0"/>
              <w:spacing w:before="0" w:after="283"/>
              <w:jc w:val="left"/>
              <w:rPr/>
            </w:pPr>
            <w:r>
              <w:rPr/>
              <w:t>Envelope</w:t>
            </w:r>
          </w:p>
        </w:tc>
        <w:tc>
          <w:tcPr>
            <w:tcW w:w="22131" w:type="dxa"/>
            <w:tcBorders/>
            <w:vAlign w:val="center"/>
          </w:tcPr>
          <w:p>
            <w:pPr>
              <w:pStyle w:val="TableContents"/>
              <w:bidi w:val="0"/>
              <w:spacing w:before="0" w:after="283"/>
              <w:jc w:val="left"/>
              <w:rPr/>
            </w:pPr>
            <w:r>
              <w:rPr/>
              <w:t>The union of capabilities admitted by the satisfied Gated Permissions currently in force for an actor in a Workroom.</w:t>
            </w:r>
          </w:p>
        </w:tc>
      </w:tr>
      <w:tr>
        <w:trPr/>
        <w:tc>
          <w:tcPr>
            <w:tcW w:w="1820" w:type="dxa"/>
            <w:tcBorders/>
            <w:vAlign w:val="center"/>
          </w:tcPr>
          <w:p>
            <w:pPr>
              <w:pStyle w:val="TableContents"/>
              <w:bidi w:val="0"/>
              <w:spacing w:before="0" w:after="283"/>
              <w:jc w:val="left"/>
              <w:rPr/>
            </w:pPr>
            <w:r>
              <w:rPr/>
              <w:t>Gate decision</w:t>
            </w:r>
          </w:p>
        </w:tc>
        <w:tc>
          <w:tcPr>
            <w:tcW w:w="22131" w:type="dxa"/>
            <w:tcBorders/>
            <w:vAlign w:val="center"/>
          </w:tcPr>
          <w:p>
            <w:pPr>
              <w:pStyle w:val="TableContents"/>
              <w:bidi w:val="0"/>
              <w:spacing w:before="0" w:after="283"/>
              <w:jc w:val="left"/>
              <w:rPr/>
            </w:pPr>
            <w:r>
              <w:rPr/>
              <w:t>The recorded result of resolving a gate, with its scope, version, evidence and validity.</w:t>
            </w:r>
          </w:p>
        </w:tc>
      </w:tr>
      <w:tr>
        <w:trPr/>
        <w:tc>
          <w:tcPr>
            <w:tcW w:w="1820" w:type="dxa"/>
            <w:tcBorders/>
            <w:vAlign w:val="center"/>
          </w:tcPr>
          <w:p>
            <w:pPr>
              <w:pStyle w:val="TableContents"/>
              <w:bidi w:val="0"/>
              <w:spacing w:before="0" w:after="283"/>
              <w:jc w:val="left"/>
              <w:rPr/>
            </w:pPr>
            <w:r>
              <w:rPr/>
              <w:t>Reach</w:t>
            </w:r>
          </w:p>
        </w:tc>
        <w:tc>
          <w:tcPr>
            <w:tcW w:w="22131" w:type="dxa"/>
            <w:tcBorders/>
            <w:vAlign w:val="center"/>
          </w:tcPr>
          <w:p>
            <w:pPr>
              <w:pStyle w:val="TableContents"/>
              <w:bidi w:val="0"/>
              <w:spacing w:before="0" w:after="283"/>
              <w:jc w:val="left"/>
              <w:rPr/>
            </w:pPr>
            <w:r>
              <w:rPr/>
              <w:t>Whether a tool is offered to and executable by an actor. A tool outside the envelope is unreachable, not merely prompted.</w:t>
            </w:r>
          </w:p>
        </w:tc>
      </w:tr>
    </w:tbl>
    <w:p>
      <w:pPr>
        <w:pStyle w:val="Heading2"/>
        <w:bidi w:val="0"/>
        <w:jc w:val="left"/>
        <w:rPr/>
      </w:pPr>
      <w:r>
        <w:rPr/>
        <w:t>5. Core principle</w:t>
      </w:r>
    </w:p>
    <w:p>
      <w:pPr>
        <w:pStyle w:val="BodyText"/>
        <w:bidi w:val="0"/>
        <w:jc w:val="left"/>
        <w:rPr/>
      </w:pPr>
      <w:r>
        <w:rPr>
          <w:rStyle w:val="Strong"/>
        </w:rPr>
        <w:t>Authority is decided once per class of work, by the scope that owns it, and enforced on every call.</w:t>
      </w:r>
    </w:p>
    <w:p>
      <w:pPr>
        <w:pStyle w:val="BodyText"/>
        <w:bidi w:val="0"/>
        <w:jc w:val="left"/>
        <w:rPr/>
      </w:pPr>
      <w:r>
        <w:rPr/>
        <w:t>Three consequences follow:</w:t>
      </w:r>
    </w:p>
    <w:p>
      <w:pPr>
        <w:pStyle w:val="BodyText"/>
        <w:numPr>
          <w:ilvl w:val="0"/>
          <w:numId w:val="9"/>
        </w:numPr>
        <w:tabs>
          <w:tab w:val="clear" w:pos="1134"/>
          <w:tab w:val="left" w:pos="709" w:leader="none"/>
        </w:tabs>
        <w:bidi w:val="0"/>
        <w:spacing w:before="0" w:after="0"/>
        <w:ind w:hanging="283" w:left="709"/>
        <w:jc w:val="left"/>
        <w:rPr/>
      </w:pPr>
      <w:r>
        <w:rPr>
          <w:rStyle w:val="Strong"/>
        </w:rPr>
        <w:t>Approve the decision, not the keystroke.</w:t>
      </w:r>
      <w:r>
        <w:rPr/>
        <w:t xml:space="preserve"> A person or governed resolver decides whether a class of tool use is admissible for this work, and the runtime enforces that decision deterministically on each call. People supervise where they are effective. The market brief records users rejecting 39% of plans while approving 97% of prompts. </w:t>
      </w:r>
    </w:p>
    <w:p>
      <w:pPr>
        <w:pStyle w:val="BodyText"/>
        <w:numPr>
          <w:ilvl w:val="0"/>
          <w:numId w:val="9"/>
        </w:numPr>
        <w:tabs>
          <w:tab w:val="clear" w:pos="1134"/>
          <w:tab w:val="left" w:pos="709" w:leader="none"/>
        </w:tabs>
        <w:bidi w:val="0"/>
        <w:spacing w:before="0" w:after="0"/>
        <w:ind w:hanging="283" w:left="709"/>
        <w:jc w:val="left"/>
        <w:rPr/>
      </w:pPr>
      <w:r>
        <w:rPr>
          <w:rStyle w:val="Strong"/>
        </w:rPr>
        <w:t>Unreachable beats prompted.</w:t>
      </w:r>
      <w:r>
        <w:rPr/>
        <w:t xml:space="preserve"> A tool that no satisfied binding admits is not offered. It is never presented for approval, so it can never be approved by fatigue. </w:t>
      </w:r>
    </w:p>
    <w:p>
      <w:pPr>
        <w:pStyle w:val="BodyText"/>
        <w:numPr>
          <w:ilvl w:val="0"/>
          <w:numId w:val="9"/>
        </w:numPr>
        <w:tabs>
          <w:tab w:val="clear" w:pos="1134"/>
          <w:tab w:val="left" w:pos="709" w:leader="none"/>
        </w:tabs>
        <w:bidi w:val="0"/>
        <w:ind w:hanging="283" w:left="709"/>
        <w:jc w:val="left"/>
        <w:rPr/>
      </w:pPr>
      <w:r>
        <w:rPr>
          <w:rStyle w:val="Strong"/>
        </w:rPr>
        <w:t>Every consequential reach traces to a named authority.</w:t>
      </w:r>
      <w:r>
        <w:rPr/>
        <w:t xml:space="preserve"> For any consequential tool call the platform can answer </w:t>
      </w:r>
      <w:r>
        <w:rPr>
          <w:rStyle w:val="Emphasis"/>
        </w:rPr>
        <w:t>which gate admitted this class of action, in which scope, decided by whom, on what evidence, valid until when</w:t>
      </w:r>
      <w:r>
        <w:rPr/>
        <w:t xml:space="preserve">. That answer is GPP's audit object. </w:t>
      </w:r>
    </w:p>
    <w:p>
      <w:pPr>
        <w:pStyle w:val="Heading2"/>
        <w:bidi w:val="0"/>
        <w:jc w:val="left"/>
        <w:rPr/>
      </w:pPr>
      <w:r>
        <w:rPr/>
        <w:t>6. Relationship to the family</w:t>
      </w:r>
    </w:p>
    <w:tbl>
      <w:tblPr>
        <w:tblW w:w="28231" w:type="dxa"/>
        <w:jc w:val="left"/>
        <w:tblInd w:w="0" w:type="dxa"/>
        <w:tblLayout w:type="fixed"/>
        <w:tblCellMar>
          <w:top w:w="28" w:type="dxa"/>
          <w:left w:w="28" w:type="dxa"/>
          <w:bottom w:w="28" w:type="dxa"/>
          <w:right w:w="28" w:type="dxa"/>
        </w:tblCellMar>
      </w:tblPr>
      <w:tblGrid>
        <w:gridCol w:w="4328"/>
        <w:gridCol w:w="4521"/>
        <w:gridCol w:w="10524"/>
        <w:gridCol w:w="8858"/>
      </w:tblGrid>
      <w:tr>
        <w:trPr>
          <w:tblHeader w:val="true"/>
        </w:trPr>
        <w:tc>
          <w:tcPr>
            <w:tcW w:w="4328" w:type="dxa"/>
            <w:tcBorders/>
            <w:vAlign w:val="center"/>
          </w:tcPr>
          <w:p>
            <w:pPr>
              <w:pStyle w:val="TableHeading"/>
              <w:suppressLineNumbers/>
              <w:bidi w:val="0"/>
              <w:spacing w:before="0" w:after="283"/>
              <w:jc w:val="center"/>
              <w:rPr/>
            </w:pPr>
            <w:r>
              <w:rPr/>
              <w:t>Standard</w:t>
            </w:r>
          </w:p>
        </w:tc>
        <w:tc>
          <w:tcPr>
            <w:tcW w:w="4521" w:type="dxa"/>
            <w:tcBorders/>
            <w:vAlign w:val="center"/>
          </w:tcPr>
          <w:p>
            <w:pPr>
              <w:pStyle w:val="TableHeading"/>
              <w:suppressLineNumbers/>
              <w:bidi w:val="0"/>
              <w:spacing w:before="0" w:after="283"/>
              <w:jc w:val="center"/>
              <w:rPr/>
            </w:pPr>
            <w:r>
              <w:rPr/>
              <w:t>Question it answers</w:t>
            </w:r>
          </w:p>
        </w:tc>
        <w:tc>
          <w:tcPr>
            <w:tcW w:w="10524" w:type="dxa"/>
            <w:tcBorders/>
            <w:vAlign w:val="center"/>
          </w:tcPr>
          <w:p>
            <w:pPr>
              <w:pStyle w:val="TableHeading"/>
              <w:suppressLineNumbers/>
              <w:bidi w:val="0"/>
              <w:spacing w:before="0" w:after="283"/>
              <w:jc w:val="center"/>
              <w:rPr/>
            </w:pPr>
            <w:r>
              <w:rPr/>
              <w:t>What GPP takes from it</w:t>
            </w:r>
          </w:p>
        </w:tc>
        <w:tc>
          <w:tcPr>
            <w:tcW w:w="8858" w:type="dxa"/>
            <w:tcBorders/>
            <w:vAlign w:val="center"/>
          </w:tcPr>
          <w:p>
            <w:pPr>
              <w:pStyle w:val="TableHeading"/>
              <w:suppressLineNumbers/>
              <w:bidi w:val="0"/>
              <w:spacing w:before="0" w:after="283"/>
              <w:jc w:val="center"/>
              <w:rPr/>
            </w:pPr>
            <w:r>
              <w:rPr/>
              <w:t>What GPP gives it</w:t>
            </w:r>
          </w:p>
        </w:tc>
      </w:tr>
      <w:tr>
        <w:trPr/>
        <w:tc>
          <w:tcPr>
            <w:tcW w:w="4328" w:type="dxa"/>
            <w:tcBorders/>
            <w:vAlign w:val="center"/>
          </w:tcPr>
          <w:p>
            <w:pPr>
              <w:pStyle w:val="TableContents"/>
              <w:bidi w:val="0"/>
              <w:spacing w:before="0" w:after="283"/>
              <w:jc w:val="left"/>
              <w:rPr/>
            </w:pPr>
            <w:r>
              <w:rPr>
                <w:rStyle w:val="SourceText"/>
              </w:rPr>
              <w:t>GAID</w:t>
            </w:r>
          </w:p>
        </w:tc>
        <w:tc>
          <w:tcPr>
            <w:tcW w:w="4521" w:type="dxa"/>
            <w:tcBorders/>
            <w:vAlign w:val="center"/>
          </w:tcPr>
          <w:p>
            <w:pPr>
              <w:pStyle w:val="TableContents"/>
              <w:bidi w:val="0"/>
              <w:spacing w:before="0" w:after="283"/>
              <w:jc w:val="left"/>
              <w:rPr/>
            </w:pPr>
            <w:r>
              <w:rPr/>
              <w:t>Who is acting, under which operating profile?</w:t>
            </w:r>
          </w:p>
        </w:tc>
        <w:tc>
          <w:tcPr>
            <w:tcW w:w="10524" w:type="dxa"/>
            <w:tcBorders/>
            <w:vAlign w:val="center"/>
          </w:tcPr>
          <w:p>
            <w:pPr>
              <w:pStyle w:val="TableContents"/>
              <w:bidi w:val="0"/>
              <w:spacing w:before="0" w:after="283"/>
              <w:jc w:val="left"/>
              <w:rPr/>
            </w:pPr>
            <w:r>
              <w:rPr/>
              <w:t>The actor and profile a binding applies to; the receipt that records each admitted call</w:t>
            </w:r>
          </w:p>
        </w:tc>
        <w:tc>
          <w:tcPr>
            <w:tcW w:w="8858" w:type="dxa"/>
            <w:tcBorders/>
            <w:vAlign w:val="center"/>
          </w:tcPr>
          <w:p>
            <w:pPr>
              <w:pStyle w:val="TableContents"/>
              <w:bidi w:val="0"/>
              <w:spacing w:before="0" w:after="283"/>
              <w:jc w:val="left"/>
              <w:rPr/>
            </w:pPr>
            <w:r>
              <w:rPr/>
              <w:t>The binding reference to place in the receipt</w:t>
            </w:r>
          </w:p>
        </w:tc>
      </w:tr>
      <w:tr>
        <w:trPr/>
        <w:tc>
          <w:tcPr>
            <w:tcW w:w="4328" w:type="dxa"/>
            <w:tcBorders/>
            <w:vAlign w:val="center"/>
          </w:tcPr>
          <w:p>
            <w:pPr>
              <w:pStyle w:val="TableContents"/>
              <w:bidi w:val="0"/>
              <w:spacing w:before="0" w:after="283"/>
              <w:jc w:val="left"/>
              <w:rPr/>
            </w:pPr>
            <w:r>
              <w:rPr>
                <w:rStyle w:val="SourceText"/>
              </w:rPr>
              <w:t>TAK-JSI</w:t>
            </w:r>
          </w:p>
        </w:tc>
        <w:tc>
          <w:tcPr>
            <w:tcW w:w="4521" w:type="dxa"/>
            <w:tcBorders/>
            <w:vAlign w:val="center"/>
          </w:tcPr>
          <w:p>
            <w:pPr>
              <w:pStyle w:val="TableContents"/>
              <w:bidi w:val="0"/>
              <w:spacing w:before="0" w:after="283"/>
              <w:jc w:val="left"/>
              <w:rPr/>
            </w:pPr>
            <w:r>
              <w:rPr/>
              <w:t>Is this profile qualified for this job?</w:t>
            </w:r>
          </w:p>
        </w:tc>
        <w:tc>
          <w:tcPr>
            <w:tcW w:w="10524" w:type="dxa"/>
            <w:tcBorders/>
            <w:vAlign w:val="center"/>
          </w:tcPr>
          <w:p>
            <w:pPr>
              <w:pStyle w:val="TableContents"/>
              <w:bidi w:val="0"/>
              <w:spacing w:before="0" w:after="283"/>
              <w:jc w:val="left"/>
              <w:rPr/>
            </w:pPr>
            <w:r>
              <w:rPr/>
              <w:t>A qualification precondition a binding may require (§7, element 8)</w:t>
            </w:r>
          </w:p>
        </w:tc>
        <w:tc>
          <w:tcPr>
            <w:tcW w:w="8858" w:type="dxa"/>
            <w:tcBorders/>
            <w:vAlign w:val="center"/>
          </w:tcPr>
          <w:p>
            <w:pPr>
              <w:pStyle w:val="TableContents"/>
              <w:bidi w:val="0"/>
              <w:spacing w:before="0" w:after="283"/>
              <w:jc w:val="left"/>
              <w:rPr/>
            </w:pPr>
            <w:r>
              <w:rPr/>
              <w:t>The tool classes a job's work shapes actually reach, so assessment targets the real envelope</w:t>
            </w:r>
          </w:p>
        </w:tc>
      </w:tr>
      <w:tr>
        <w:trPr/>
        <w:tc>
          <w:tcPr>
            <w:tcW w:w="4328" w:type="dxa"/>
            <w:tcBorders/>
            <w:vAlign w:val="center"/>
          </w:tcPr>
          <w:p>
            <w:pPr>
              <w:pStyle w:val="TableContents"/>
              <w:bidi w:val="0"/>
              <w:spacing w:before="0" w:after="283"/>
              <w:jc w:val="left"/>
              <w:rPr/>
            </w:pPr>
            <w:r>
              <w:rPr>
                <w:rStyle w:val="SourceText"/>
              </w:rPr>
              <w:t>TAK</w:t>
            </w:r>
          </w:p>
        </w:tc>
        <w:tc>
          <w:tcPr>
            <w:tcW w:w="4521" w:type="dxa"/>
            <w:tcBorders/>
            <w:vAlign w:val="center"/>
          </w:tcPr>
          <w:p>
            <w:pPr>
              <w:pStyle w:val="TableContents"/>
              <w:bidi w:val="0"/>
              <w:spacing w:before="0" w:after="283"/>
              <w:jc w:val="left"/>
              <w:rPr/>
            </w:pPr>
            <w:r>
              <w:rPr/>
              <w:t>May this actor act now?</w:t>
            </w:r>
          </w:p>
        </w:tc>
        <w:tc>
          <w:tcPr>
            <w:tcW w:w="10524" w:type="dxa"/>
            <w:tcBorders/>
            <w:vAlign w:val="center"/>
          </w:tcPr>
          <w:p>
            <w:pPr>
              <w:pStyle w:val="TableContents"/>
              <w:bidi w:val="0"/>
              <w:spacing w:before="0" w:after="283"/>
              <w:jc w:val="left"/>
              <w:rPr/>
            </w:pPr>
            <w:r>
              <w:rPr/>
              <w:t>Runtime enforcement: effective-permission intersection, consequence classes, proposal mode, gate coverage</w:t>
            </w:r>
          </w:p>
        </w:tc>
        <w:tc>
          <w:tcPr>
            <w:tcW w:w="8858" w:type="dxa"/>
            <w:tcBorders/>
            <w:vAlign w:val="center"/>
          </w:tcPr>
          <w:p>
            <w:pPr>
              <w:pStyle w:val="TableContents"/>
              <w:bidi w:val="0"/>
              <w:spacing w:before="0" w:after="283"/>
              <w:jc w:val="left"/>
              <w:rPr/>
            </w:pPr>
            <w:r>
              <w:rPr/>
              <w:t>The envelope that the route/workflow/context term of TAK §7.2 intersects</w:t>
            </w:r>
          </w:p>
        </w:tc>
      </w:tr>
      <w:tr>
        <w:trPr/>
        <w:tc>
          <w:tcPr>
            <w:tcW w:w="4328" w:type="dxa"/>
            <w:tcBorders/>
            <w:vAlign w:val="center"/>
          </w:tcPr>
          <w:p>
            <w:pPr>
              <w:pStyle w:val="TableContents"/>
              <w:bidi w:val="0"/>
              <w:spacing w:before="0" w:after="283"/>
              <w:jc w:val="left"/>
              <w:rPr/>
            </w:pPr>
            <w:r>
              <w:rPr/>
              <w:t>Decision scopes (WWMD/WWWD/WSID)</w:t>
            </w:r>
          </w:p>
        </w:tc>
        <w:tc>
          <w:tcPr>
            <w:tcW w:w="4521" w:type="dxa"/>
            <w:tcBorders/>
            <w:vAlign w:val="center"/>
          </w:tcPr>
          <w:p>
            <w:pPr>
              <w:pStyle w:val="TableContents"/>
              <w:bidi w:val="0"/>
              <w:spacing w:before="0" w:after="283"/>
              <w:jc w:val="left"/>
              <w:rPr/>
            </w:pPr>
            <w:r>
              <w:rPr/>
              <w:t>What does doctrine say about this choice?</w:t>
            </w:r>
          </w:p>
        </w:tc>
        <w:tc>
          <w:tcPr>
            <w:tcW w:w="10524" w:type="dxa"/>
            <w:tcBorders/>
            <w:vAlign w:val="center"/>
          </w:tcPr>
          <w:p>
            <w:pPr>
              <w:pStyle w:val="TableContents"/>
              <w:bidi w:val="0"/>
              <w:spacing w:before="0" w:after="283"/>
              <w:jc w:val="left"/>
              <w:rPr/>
            </w:pPr>
            <w:r>
              <w:rPr/>
              <w:t>The gate's resolver and doctrine</w:t>
            </w:r>
          </w:p>
        </w:tc>
        <w:tc>
          <w:tcPr>
            <w:tcW w:w="8858" w:type="dxa"/>
            <w:tcBorders/>
            <w:vAlign w:val="center"/>
          </w:tcPr>
          <w:p>
            <w:pPr>
              <w:pStyle w:val="TableContents"/>
              <w:bidi w:val="0"/>
              <w:spacing w:before="0" w:after="283"/>
              <w:jc w:val="left"/>
              <w:rPr/>
            </w:pPr>
            <w:r>
              <w:rPr/>
              <w:t>The specific classes of action each scope must rule on</w:t>
            </w:r>
          </w:p>
        </w:tc>
      </w:tr>
    </w:tbl>
    <w:p>
      <w:pPr>
        <w:pStyle w:val="BodyText"/>
        <w:bidi w:val="0"/>
        <w:jc w:val="left"/>
        <w:rPr/>
      </w:pPr>
      <w:r>
        <w:rPr/>
        <w:t>Composition order for one governed action:</w:t>
      </w:r>
    </w:p>
    <w:p>
      <w:pPr>
        <w:pStyle w:val="BodyText"/>
        <w:numPr>
          <w:ilvl w:val="0"/>
          <w:numId w:val="10"/>
        </w:numPr>
        <w:tabs>
          <w:tab w:val="clear" w:pos="1134"/>
          <w:tab w:val="left" w:pos="709" w:leader="none"/>
        </w:tabs>
        <w:bidi w:val="0"/>
        <w:spacing w:before="0" w:after="0"/>
        <w:ind w:hanging="283" w:left="709"/>
        <w:jc w:val="left"/>
        <w:rPr/>
      </w:pPr>
      <w:r>
        <w:rPr>
          <w:rStyle w:val="SourceText"/>
        </w:rPr>
        <w:t>GAID</w:t>
      </w:r>
      <w:r>
        <w:rPr/>
        <w:t xml:space="preserve"> identifies the actor and profile. </w:t>
      </w:r>
    </w:p>
    <w:p>
      <w:pPr>
        <w:pStyle w:val="BodyText"/>
        <w:numPr>
          <w:ilvl w:val="0"/>
          <w:numId w:val="10"/>
        </w:numPr>
        <w:tabs>
          <w:tab w:val="clear" w:pos="1134"/>
          <w:tab w:val="left" w:pos="709" w:leader="none"/>
        </w:tabs>
        <w:bidi w:val="0"/>
        <w:spacing w:before="0" w:after="0"/>
        <w:ind w:hanging="283" w:left="709"/>
        <w:jc w:val="left"/>
        <w:rPr/>
      </w:pPr>
      <w:r>
        <w:rPr>
          <w:rStyle w:val="SourceText"/>
        </w:rPr>
        <w:t>GPP</w:t>
      </w:r>
      <w:r>
        <w:rPr/>
        <w:t xml:space="preserve"> resolves the envelope for the actor's Workroom and stage, which is the set of satisfied Gated Permissions. </w:t>
      </w:r>
    </w:p>
    <w:p>
      <w:pPr>
        <w:pStyle w:val="BodyText"/>
        <w:numPr>
          <w:ilvl w:val="0"/>
          <w:numId w:val="10"/>
        </w:numPr>
        <w:tabs>
          <w:tab w:val="clear" w:pos="1134"/>
          <w:tab w:val="left" w:pos="709" w:leader="none"/>
        </w:tabs>
        <w:bidi w:val="0"/>
        <w:spacing w:before="0" w:after="0"/>
        <w:ind w:hanging="283" w:left="709"/>
        <w:jc w:val="left"/>
        <w:rPr/>
      </w:pPr>
      <w:r>
        <w:rPr>
          <w:rStyle w:val="SourceText"/>
        </w:rPr>
        <w:t>TAK-JSI</w:t>
      </w:r>
      <w:r>
        <w:rPr/>
        <w:t xml:space="preserve"> confirms any qualification a binding requires. </w:t>
      </w:r>
    </w:p>
    <w:p>
      <w:pPr>
        <w:pStyle w:val="BodyText"/>
        <w:numPr>
          <w:ilvl w:val="0"/>
          <w:numId w:val="10"/>
        </w:numPr>
        <w:tabs>
          <w:tab w:val="clear" w:pos="1134"/>
          <w:tab w:val="left" w:pos="709" w:leader="none"/>
        </w:tabs>
        <w:bidi w:val="0"/>
        <w:spacing w:before="0" w:after="0"/>
        <w:ind w:hanging="283" w:left="709"/>
        <w:jc w:val="left"/>
        <w:rPr/>
      </w:pPr>
      <w:r>
        <w:rPr>
          <w:rStyle w:val="SourceText"/>
        </w:rPr>
        <w:t>TAK</w:t>
      </w:r>
      <w:r>
        <w:rPr/>
        <w:t xml:space="preserve"> intersects principal authority, agent grants, the GPP envelope and data constraints, then mediates the call. </w:t>
      </w:r>
    </w:p>
    <w:p>
      <w:pPr>
        <w:pStyle w:val="BodyText"/>
        <w:numPr>
          <w:ilvl w:val="0"/>
          <w:numId w:val="10"/>
        </w:numPr>
        <w:tabs>
          <w:tab w:val="clear" w:pos="1134"/>
          <w:tab w:val="left" w:pos="709" w:leader="none"/>
        </w:tabs>
        <w:bidi w:val="0"/>
        <w:ind w:hanging="283" w:left="709"/>
        <w:jc w:val="left"/>
        <w:rPr/>
      </w:pPr>
      <w:r>
        <w:rPr>
          <w:rStyle w:val="SourceText"/>
        </w:rPr>
        <w:t>GAID</w:t>
      </w:r>
      <w:r>
        <w:rPr/>
        <w:t xml:space="preserve"> records the receipt, including the binding reference and gate-decision reference. </w:t>
      </w:r>
    </w:p>
    <w:p>
      <w:pPr>
        <w:pStyle w:val="BodyText"/>
        <w:bidi w:val="0"/>
        <w:jc w:val="left"/>
        <w:rPr/>
      </w:pPr>
      <w:r>
        <w:rPr/>
        <w:t>No member widens another. An envelope never adds a grant the agent or principal lacks. It can only narrow TAK's intersection.</w:t>
      </w:r>
    </w:p>
    <w:p>
      <w:pPr>
        <w:pStyle w:val="Heading2"/>
        <w:bidi w:val="0"/>
        <w:jc w:val="left"/>
        <w:rPr/>
      </w:pPr>
      <w:r>
        <w:rPr/>
        <w:t>7. The Gated Permission binding</w:t>
      </w:r>
    </w:p>
    <w:p>
      <w:pPr>
        <w:pStyle w:val="BodyText"/>
        <w:bidi w:val="0"/>
        <w:jc w:val="left"/>
        <w:rPr/>
      </w:pPr>
      <w:r>
        <w:rPr/>
        <w:t xml:space="preserve">A Gated Permission </w:t>
      </w:r>
      <w:r>
        <w:rPr>
          <w:rStyle w:val="SourceText"/>
        </w:rPr>
        <w:t>MUST</w:t>
      </w:r>
      <w:r>
        <w:rPr/>
        <w:t xml:space="preserve"> declare the following elements.</w:t>
      </w:r>
    </w:p>
    <w:tbl>
      <w:tblPr>
        <w:tblW w:w="27956" w:type="dxa"/>
        <w:jc w:val="left"/>
        <w:tblInd w:w="0" w:type="dxa"/>
        <w:tblLayout w:type="fixed"/>
        <w:tblCellMar>
          <w:top w:w="28" w:type="dxa"/>
          <w:left w:w="28" w:type="dxa"/>
          <w:bottom w:w="28" w:type="dxa"/>
          <w:right w:w="28" w:type="dxa"/>
        </w:tblCellMar>
      </w:tblPr>
      <w:tblGrid>
        <w:gridCol w:w="361"/>
        <w:gridCol w:w="2024"/>
        <w:gridCol w:w="25571"/>
      </w:tblGrid>
      <w:tr>
        <w:trPr>
          <w:tblHeader w:val="true"/>
        </w:trPr>
        <w:tc>
          <w:tcPr>
            <w:tcW w:w="361" w:type="dxa"/>
            <w:tcBorders/>
            <w:vAlign w:val="center"/>
          </w:tcPr>
          <w:p>
            <w:pPr>
              <w:pStyle w:val="TableHeading"/>
              <w:suppressLineNumbers/>
              <w:bidi w:val="0"/>
              <w:spacing w:before="0" w:after="283"/>
              <w:jc w:val="center"/>
              <w:rPr/>
            </w:pPr>
            <w:r>
              <w:rPr/>
              <w:t>#</w:t>
            </w:r>
          </w:p>
        </w:tc>
        <w:tc>
          <w:tcPr>
            <w:tcW w:w="2024" w:type="dxa"/>
            <w:tcBorders/>
            <w:vAlign w:val="center"/>
          </w:tcPr>
          <w:p>
            <w:pPr>
              <w:pStyle w:val="TableHeading"/>
              <w:suppressLineNumbers/>
              <w:bidi w:val="0"/>
              <w:spacing w:before="0" w:after="283"/>
              <w:jc w:val="center"/>
              <w:rPr/>
            </w:pPr>
            <w:r>
              <w:rPr/>
              <w:t>Element</w:t>
            </w:r>
          </w:p>
        </w:tc>
        <w:tc>
          <w:tcPr>
            <w:tcW w:w="25571" w:type="dxa"/>
            <w:tcBorders/>
            <w:vAlign w:val="center"/>
          </w:tcPr>
          <w:p>
            <w:pPr>
              <w:pStyle w:val="TableHeading"/>
              <w:suppressLineNumbers/>
              <w:bidi w:val="0"/>
              <w:spacing w:before="0" w:after="283"/>
              <w:jc w:val="center"/>
              <w:rPr/>
            </w:pPr>
            <w:r>
              <w:rPr/>
              <w:t>Requirement</w:t>
            </w:r>
          </w:p>
        </w:tc>
      </w:tr>
      <w:tr>
        <w:trPr/>
        <w:tc>
          <w:tcPr>
            <w:tcW w:w="361" w:type="dxa"/>
            <w:tcBorders/>
            <w:vAlign w:val="center"/>
          </w:tcPr>
          <w:p>
            <w:pPr>
              <w:pStyle w:val="TableContents"/>
              <w:bidi w:val="0"/>
              <w:spacing w:before="0" w:after="283"/>
              <w:jc w:val="left"/>
              <w:rPr/>
            </w:pPr>
            <w:r>
              <w:rPr/>
              <w:t>1</w:t>
            </w:r>
          </w:p>
        </w:tc>
        <w:tc>
          <w:tcPr>
            <w:tcW w:w="2024" w:type="dxa"/>
            <w:tcBorders/>
            <w:vAlign w:val="center"/>
          </w:tcPr>
          <w:p>
            <w:pPr>
              <w:pStyle w:val="TableContents"/>
              <w:bidi w:val="0"/>
              <w:spacing w:before="0" w:after="283"/>
              <w:jc w:val="left"/>
              <w:rPr/>
            </w:pPr>
            <w:r>
              <w:rPr/>
              <w:t>Identity and version</w:t>
            </w:r>
          </w:p>
        </w:tc>
        <w:tc>
          <w:tcPr>
            <w:tcW w:w="25571" w:type="dxa"/>
            <w:tcBorders/>
            <w:vAlign w:val="center"/>
          </w:tcPr>
          <w:p>
            <w:pPr>
              <w:pStyle w:val="TableContents"/>
              <w:bidi w:val="0"/>
              <w:spacing w:before="0" w:after="283"/>
              <w:jc w:val="left"/>
              <w:rPr/>
            </w:pPr>
            <w:r>
              <w:rPr/>
              <w:t>A stable identifier and version (§2.1).</w:t>
            </w:r>
          </w:p>
        </w:tc>
      </w:tr>
      <w:tr>
        <w:trPr/>
        <w:tc>
          <w:tcPr>
            <w:tcW w:w="361" w:type="dxa"/>
            <w:tcBorders/>
            <w:vAlign w:val="center"/>
          </w:tcPr>
          <w:p>
            <w:pPr>
              <w:pStyle w:val="TableContents"/>
              <w:bidi w:val="0"/>
              <w:spacing w:before="0" w:after="283"/>
              <w:jc w:val="left"/>
              <w:rPr/>
            </w:pPr>
            <w:r>
              <w:rPr/>
              <w:t>2</w:t>
            </w:r>
          </w:p>
        </w:tc>
        <w:tc>
          <w:tcPr>
            <w:tcW w:w="2024" w:type="dxa"/>
            <w:tcBorders/>
            <w:vAlign w:val="center"/>
          </w:tcPr>
          <w:p>
            <w:pPr>
              <w:pStyle w:val="TableContents"/>
              <w:bidi w:val="0"/>
              <w:spacing w:before="0" w:after="283"/>
              <w:jc w:val="left"/>
              <w:rPr/>
            </w:pPr>
            <w:r>
              <w:rPr/>
              <w:t>Attachment</w:t>
            </w:r>
          </w:p>
        </w:tc>
        <w:tc>
          <w:tcPr>
            <w:tcW w:w="25571" w:type="dxa"/>
            <w:tcBorders/>
            <w:vAlign w:val="center"/>
          </w:tcPr>
          <w:p>
            <w:pPr>
              <w:pStyle w:val="TableContents"/>
              <w:bidi w:val="0"/>
              <w:spacing w:before="0" w:after="283"/>
              <w:jc w:val="left"/>
              <w:rPr/>
            </w:pPr>
            <w:r>
              <w:rPr/>
              <w:t xml:space="preserve">The work shape key and version, and the stage key, it applies to. A binding </w:t>
            </w:r>
            <w:r>
              <w:rPr>
                <w:rStyle w:val="SourceText"/>
              </w:rPr>
              <w:t>MUST</w:t>
            </w:r>
            <w:r>
              <w:rPr/>
              <w:t xml:space="preserve"> attach to a stage, not only to a whole shape, when any stage of that shape reaches a consequential capability.</w:t>
            </w:r>
          </w:p>
        </w:tc>
      </w:tr>
      <w:tr>
        <w:trPr/>
        <w:tc>
          <w:tcPr>
            <w:tcW w:w="361" w:type="dxa"/>
            <w:tcBorders/>
            <w:vAlign w:val="center"/>
          </w:tcPr>
          <w:p>
            <w:pPr>
              <w:pStyle w:val="TableContents"/>
              <w:bidi w:val="0"/>
              <w:spacing w:before="0" w:after="283"/>
              <w:jc w:val="left"/>
              <w:rPr/>
            </w:pPr>
            <w:r>
              <w:rPr/>
              <w:t>3</w:t>
            </w:r>
          </w:p>
        </w:tc>
        <w:tc>
          <w:tcPr>
            <w:tcW w:w="2024" w:type="dxa"/>
            <w:tcBorders/>
            <w:vAlign w:val="center"/>
          </w:tcPr>
          <w:p>
            <w:pPr>
              <w:pStyle w:val="TableContents"/>
              <w:bidi w:val="0"/>
              <w:spacing w:before="0" w:after="283"/>
              <w:jc w:val="left"/>
              <w:rPr/>
            </w:pPr>
            <w:r>
              <w:rPr/>
              <w:t>Owning scope</w:t>
            </w:r>
          </w:p>
        </w:tc>
        <w:tc>
          <w:tcPr>
            <w:tcW w:w="25571" w:type="dxa"/>
            <w:tcBorders/>
            <w:vAlign w:val="center"/>
          </w:tcPr>
          <w:p>
            <w:pPr>
              <w:pStyle w:val="TableContents"/>
              <w:bidi w:val="0"/>
              <w:spacing w:before="0" w:after="283"/>
              <w:jc w:val="left"/>
              <w:rPr/>
            </w:pPr>
            <w:r>
              <w:rPr/>
              <w:t>Exactly one decision scope that owns the admissibility judgment. Cross-scope material is advisory until the owning scope adopts it.</w:t>
            </w:r>
          </w:p>
        </w:tc>
      </w:tr>
      <w:tr>
        <w:trPr/>
        <w:tc>
          <w:tcPr>
            <w:tcW w:w="361" w:type="dxa"/>
            <w:tcBorders/>
            <w:vAlign w:val="center"/>
          </w:tcPr>
          <w:p>
            <w:pPr>
              <w:pStyle w:val="TableContents"/>
              <w:bidi w:val="0"/>
              <w:spacing w:before="0" w:after="283"/>
              <w:jc w:val="left"/>
              <w:rPr/>
            </w:pPr>
            <w:r>
              <w:rPr/>
              <w:t>4</w:t>
            </w:r>
          </w:p>
        </w:tc>
        <w:tc>
          <w:tcPr>
            <w:tcW w:w="2024" w:type="dxa"/>
            <w:tcBorders/>
            <w:vAlign w:val="center"/>
          </w:tcPr>
          <w:p>
            <w:pPr>
              <w:pStyle w:val="TableContents"/>
              <w:bidi w:val="0"/>
              <w:spacing w:before="0" w:after="283"/>
              <w:jc w:val="left"/>
              <w:rPr/>
            </w:pPr>
            <w:r>
              <w:rPr/>
              <w:t>Gate</w:t>
            </w:r>
          </w:p>
        </w:tc>
        <w:tc>
          <w:tcPr>
            <w:tcW w:w="25571" w:type="dxa"/>
            <w:tcBorders/>
            <w:vAlign w:val="center"/>
          </w:tcPr>
          <w:p>
            <w:pPr>
              <w:pStyle w:val="TableContents"/>
              <w:bidi w:val="0"/>
              <w:spacing w:before="0" w:after="283"/>
              <w:jc w:val="left"/>
              <w:rPr/>
            </w:pPr>
            <w:r>
              <w:rPr/>
              <w:t xml:space="preserve">The gate within that scope and its resolution mode: </w:t>
            </w:r>
            <w:r>
              <w:rPr>
                <w:rStyle w:val="SourceText"/>
              </w:rPr>
              <w:t>doctrine</w:t>
            </w:r>
            <w:r>
              <w:rPr/>
              <w:t xml:space="preserve"> (resolved by recorded principles under the scope's resolver), </w:t>
            </w:r>
            <w:r>
              <w:rPr>
                <w:rStyle w:val="SourceText"/>
              </w:rPr>
              <w:t>accountable-human</w:t>
            </w:r>
            <w:r>
              <w:rPr/>
              <w:t xml:space="preserve"> (a named role decides), or </w:t>
            </w:r>
            <w:r>
              <w:rPr>
                <w:rStyle w:val="SourceText"/>
              </w:rPr>
              <w:t>doctrine-then-human</w:t>
            </w:r>
            <w:r>
              <w:rPr/>
              <w:t xml:space="preserve"> (doctrine resolves; uncertainty or authority gaps escalate).</w:t>
            </w:r>
          </w:p>
        </w:tc>
      </w:tr>
      <w:tr>
        <w:trPr/>
        <w:tc>
          <w:tcPr>
            <w:tcW w:w="361" w:type="dxa"/>
            <w:tcBorders/>
            <w:vAlign w:val="center"/>
          </w:tcPr>
          <w:p>
            <w:pPr>
              <w:pStyle w:val="TableContents"/>
              <w:bidi w:val="0"/>
              <w:spacing w:before="0" w:after="283"/>
              <w:jc w:val="left"/>
              <w:rPr/>
            </w:pPr>
            <w:r>
              <w:rPr/>
              <w:t>5</w:t>
            </w:r>
          </w:p>
        </w:tc>
        <w:tc>
          <w:tcPr>
            <w:tcW w:w="2024" w:type="dxa"/>
            <w:tcBorders/>
            <w:vAlign w:val="center"/>
          </w:tcPr>
          <w:p>
            <w:pPr>
              <w:pStyle w:val="TableContents"/>
              <w:bidi w:val="0"/>
              <w:spacing w:before="0" w:after="283"/>
              <w:jc w:val="left"/>
              <w:rPr/>
            </w:pPr>
            <w:r>
              <w:rPr/>
              <w:t>Capability set</w:t>
            </w:r>
          </w:p>
        </w:tc>
        <w:tc>
          <w:tcPr>
            <w:tcW w:w="25571" w:type="dxa"/>
            <w:tcBorders/>
            <w:vAlign w:val="center"/>
          </w:tcPr>
          <w:p>
            <w:pPr>
              <w:pStyle w:val="TableContents"/>
              <w:bidi w:val="0"/>
              <w:spacing w:before="0" w:after="283"/>
              <w:jc w:val="left"/>
              <w:rPr/>
            </w:pPr>
            <w:r>
              <w:rPr/>
              <w:t>The capabilities admitted, drawn from the shared vocabulary (§7.1).</w:t>
            </w:r>
          </w:p>
        </w:tc>
      </w:tr>
      <w:tr>
        <w:trPr/>
        <w:tc>
          <w:tcPr>
            <w:tcW w:w="361" w:type="dxa"/>
            <w:tcBorders/>
            <w:vAlign w:val="center"/>
          </w:tcPr>
          <w:p>
            <w:pPr>
              <w:pStyle w:val="TableContents"/>
              <w:bidi w:val="0"/>
              <w:spacing w:before="0" w:after="283"/>
              <w:jc w:val="left"/>
              <w:rPr/>
            </w:pPr>
            <w:r>
              <w:rPr/>
              <w:t>6</w:t>
            </w:r>
          </w:p>
        </w:tc>
        <w:tc>
          <w:tcPr>
            <w:tcW w:w="2024" w:type="dxa"/>
            <w:tcBorders/>
            <w:vAlign w:val="center"/>
          </w:tcPr>
          <w:p>
            <w:pPr>
              <w:pStyle w:val="TableContents"/>
              <w:bidi w:val="0"/>
              <w:spacing w:before="0" w:after="283"/>
              <w:jc w:val="left"/>
              <w:rPr/>
            </w:pPr>
            <w:r>
              <w:rPr/>
              <w:t>Subject scope</w:t>
            </w:r>
          </w:p>
        </w:tc>
        <w:tc>
          <w:tcPr>
            <w:tcW w:w="25571" w:type="dxa"/>
            <w:tcBorders/>
            <w:vAlign w:val="center"/>
          </w:tcPr>
          <w:p>
            <w:pPr>
              <w:pStyle w:val="TableContents"/>
              <w:bidi w:val="0"/>
              <w:spacing w:before="0" w:after="283"/>
              <w:jc w:val="left"/>
              <w:rPr/>
            </w:pPr>
            <w:r>
              <w:rPr/>
              <w:t>What the admitted calls may act on (record set, repository, account, customer, external destination), as narrow as the work allows.</w:t>
            </w:r>
          </w:p>
        </w:tc>
      </w:tr>
      <w:tr>
        <w:trPr/>
        <w:tc>
          <w:tcPr>
            <w:tcW w:w="361" w:type="dxa"/>
            <w:tcBorders/>
            <w:vAlign w:val="center"/>
          </w:tcPr>
          <w:p>
            <w:pPr>
              <w:pStyle w:val="TableContents"/>
              <w:bidi w:val="0"/>
              <w:spacing w:before="0" w:after="283"/>
              <w:jc w:val="left"/>
              <w:rPr/>
            </w:pPr>
            <w:r>
              <w:rPr/>
              <w:t>7</w:t>
            </w:r>
          </w:p>
        </w:tc>
        <w:tc>
          <w:tcPr>
            <w:tcW w:w="2024" w:type="dxa"/>
            <w:tcBorders/>
            <w:vAlign w:val="center"/>
          </w:tcPr>
          <w:p>
            <w:pPr>
              <w:pStyle w:val="TableContents"/>
              <w:bidi w:val="0"/>
              <w:spacing w:before="0" w:after="283"/>
              <w:jc w:val="left"/>
              <w:rPr/>
            </w:pPr>
            <w:r>
              <w:rPr/>
              <w:t>Validity</w:t>
            </w:r>
          </w:p>
        </w:tc>
        <w:tc>
          <w:tcPr>
            <w:tcW w:w="25571" w:type="dxa"/>
            <w:tcBorders/>
            <w:vAlign w:val="center"/>
          </w:tcPr>
          <w:p>
            <w:pPr>
              <w:pStyle w:val="TableContents"/>
              <w:bidi w:val="0"/>
              <w:spacing w:before="0" w:after="283"/>
              <w:jc w:val="left"/>
              <w:rPr/>
            </w:pPr>
            <w:r>
              <w:rPr/>
              <w:t>When the decision expires: a duration, a stage exit, a count of effects, or a combination.</w:t>
            </w:r>
          </w:p>
        </w:tc>
      </w:tr>
      <w:tr>
        <w:trPr/>
        <w:tc>
          <w:tcPr>
            <w:tcW w:w="361" w:type="dxa"/>
            <w:tcBorders/>
            <w:vAlign w:val="center"/>
          </w:tcPr>
          <w:p>
            <w:pPr>
              <w:pStyle w:val="TableContents"/>
              <w:bidi w:val="0"/>
              <w:spacing w:before="0" w:after="283"/>
              <w:jc w:val="left"/>
              <w:rPr/>
            </w:pPr>
            <w:r>
              <w:rPr/>
              <w:t>8</w:t>
            </w:r>
          </w:p>
        </w:tc>
        <w:tc>
          <w:tcPr>
            <w:tcW w:w="2024" w:type="dxa"/>
            <w:tcBorders/>
            <w:vAlign w:val="center"/>
          </w:tcPr>
          <w:p>
            <w:pPr>
              <w:pStyle w:val="TableContents"/>
              <w:bidi w:val="0"/>
              <w:spacing w:before="0" w:after="283"/>
              <w:jc w:val="left"/>
              <w:rPr/>
            </w:pPr>
            <w:r>
              <w:rPr/>
              <w:t>Preconditions</w:t>
            </w:r>
          </w:p>
        </w:tc>
        <w:tc>
          <w:tcPr>
            <w:tcW w:w="25571" w:type="dxa"/>
            <w:tcBorders/>
            <w:vAlign w:val="center"/>
          </w:tcPr>
          <w:p>
            <w:pPr>
              <w:pStyle w:val="TableContents"/>
              <w:bidi w:val="0"/>
              <w:spacing w:before="0" w:after="283"/>
              <w:jc w:val="left"/>
              <w:rPr/>
            </w:pPr>
            <w:r>
              <w:rPr/>
              <w:t xml:space="preserve">Evidence that must exist before the gate resolves (for example a reproduction, a review receipt or a data classification), and any </w:t>
            </w:r>
            <w:r>
              <w:rPr>
                <w:rStyle w:val="SourceText"/>
              </w:rPr>
              <w:t>TAK-JSI</w:t>
            </w:r>
            <w:r>
              <w:rPr/>
              <w:t xml:space="preserve"> qualification the actor must hold.</w:t>
            </w:r>
          </w:p>
        </w:tc>
      </w:tr>
      <w:tr>
        <w:trPr/>
        <w:tc>
          <w:tcPr>
            <w:tcW w:w="361" w:type="dxa"/>
            <w:tcBorders/>
            <w:vAlign w:val="center"/>
          </w:tcPr>
          <w:p>
            <w:pPr>
              <w:pStyle w:val="TableContents"/>
              <w:bidi w:val="0"/>
              <w:spacing w:before="0" w:after="283"/>
              <w:jc w:val="left"/>
              <w:rPr/>
            </w:pPr>
            <w:r>
              <w:rPr/>
              <w:t>9</w:t>
            </w:r>
          </w:p>
        </w:tc>
        <w:tc>
          <w:tcPr>
            <w:tcW w:w="2024" w:type="dxa"/>
            <w:tcBorders/>
            <w:vAlign w:val="center"/>
          </w:tcPr>
          <w:p>
            <w:pPr>
              <w:pStyle w:val="TableContents"/>
              <w:bidi w:val="0"/>
              <w:spacing w:before="0" w:after="283"/>
              <w:jc w:val="left"/>
              <w:rPr/>
            </w:pPr>
            <w:r>
              <w:rPr/>
              <w:t>Escalation path</w:t>
            </w:r>
          </w:p>
        </w:tc>
        <w:tc>
          <w:tcPr>
            <w:tcW w:w="25571" w:type="dxa"/>
            <w:tcBorders/>
            <w:vAlign w:val="center"/>
          </w:tcPr>
          <w:p>
            <w:pPr>
              <w:pStyle w:val="TableContents"/>
              <w:bidi w:val="0"/>
              <w:spacing w:before="0" w:after="283"/>
              <w:jc w:val="left"/>
              <w:rPr/>
            </w:pPr>
            <w:r>
              <w:rPr/>
              <w:t xml:space="preserve">The accountable role that receives </w:t>
            </w:r>
            <w:r>
              <w:rPr>
                <w:rStyle w:val="SourceText"/>
              </w:rPr>
              <w:t>hold</w:t>
            </w:r>
            <w:r>
              <w:rPr/>
              <w:t xml:space="preserve"> or </w:t>
            </w:r>
            <w:r>
              <w:rPr>
                <w:rStyle w:val="SourceText"/>
              </w:rPr>
              <w:t>escalate</w:t>
            </w:r>
            <w:r>
              <w:rPr/>
              <w:t xml:space="preserve"> outcomes, and the disposition while waiting.</w:t>
            </w:r>
          </w:p>
        </w:tc>
      </w:tr>
      <w:tr>
        <w:trPr/>
        <w:tc>
          <w:tcPr>
            <w:tcW w:w="361" w:type="dxa"/>
            <w:tcBorders/>
            <w:vAlign w:val="center"/>
          </w:tcPr>
          <w:p>
            <w:pPr>
              <w:pStyle w:val="TableContents"/>
              <w:bidi w:val="0"/>
              <w:spacing w:before="0" w:after="283"/>
              <w:jc w:val="left"/>
              <w:rPr/>
            </w:pPr>
            <w:r>
              <w:rPr/>
              <w:t>10</w:t>
            </w:r>
          </w:p>
        </w:tc>
        <w:tc>
          <w:tcPr>
            <w:tcW w:w="2024" w:type="dxa"/>
            <w:tcBorders/>
            <w:vAlign w:val="center"/>
          </w:tcPr>
          <w:p>
            <w:pPr>
              <w:pStyle w:val="TableContents"/>
              <w:bidi w:val="0"/>
              <w:spacing w:before="0" w:after="283"/>
              <w:jc w:val="left"/>
              <w:rPr/>
            </w:pPr>
            <w:r>
              <w:rPr/>
              <w:t>Stop conditions</w:t>
            </w:r>
          </w:p>
        </w:tc>
        <w:tc>
          <w:tcPr>
            <w:tcW w:w="25571" w:type="dxa"/>
            <w:tcBorders/>
            <w:vAlign w:val="center"/>
          </w:tcPr>
          <w:p>
            <w:pPr>
              <w:pStyle w:val="TableContents"/>
              <w:bidi w:val="0"/>
              <w:spacing w:before="0" w:after="283"/>
              <w:jc w:val="left"/>
              <w:rPr/>
            </w:pPr>
            <w:r>
              <w:rPr/>
              <w:t>What revokes the binding before expiry, such as a stage regression, a revoked grant, an incident, or evidence decay.</w:t>
            </w:r>
          </w:p>
        </w:tc>
      </w:tr>
      <w:tr>
        <w:trPr/>
        <w:tc>
          <w:tcPr>
            <w:tcW w:w="361" w:type="dxa"/>
            <w:tcBorders/>
            <w:vAlign w:val="center"/>
          </w:tcPr>
          <w:p>
            <w:pPr>
              <w:pStyle w:val="TableContents"/>
              <w:bidi w:val="0"/>
              <w:spacing w:before="0" w:after="283"/>
              <w:jc w:val="left"/>
              <w:rPr/>
            </w:pPr>
            <w:r>
              <w:rPr/>
              <w:t>11</w:t>
            </w:r>
          </w:p>
        </w:tc>
        <w:tc>
          <w:tcPr>
            <w:tcW w:w="2024" w:type="dxa"/>
            <w:tcBorders/>
            <w:vAlign w:val="center"/>
          </w:tcPr>
          <w:p>
            <w:pPr>
              <w:pStyle w:val="TableContents"/>
              <w:bidi w:val="0"/>
              <w:spacing w:before="0" w:after="283"/>
              <w:jc w:val="left"/>
              <w:rPr/>
            </w:pPr>
            <w:r>
              <w:rPr/>
              <w:t>Enforcement mode</w:t>
            </w:r>
          </w:p>
        </w:tc>
        <w:tc>
          <w:tcPr>
            <w:tcW w:w="25571" w:type="dxa"/>
            <w:tcBorders/>
            <w:vAlign w:val="center"/>
          </w:tcPr>
          <w:p>
            <w:pPr>
              <w:pStyle w:val="TableContents"/>
              <w:bidi w:val="0"/>
              <w:spacing w:before="0" w:after="283"/>
              <w:jc w:val="left"/>
              <w:rPr/>
            </w:pPr>
            <w:r>
              <w:rPr>
                <w:rStyle w:val="SourceText"/>
              </w:rPr>
              <w:t>enforced</w:t>
            </w:r>
            <w:r>
              <w:rPr/>
              <w:t xml:space="preserve">, </w:t>
            </w:r>
            <w:r>
              <w:rPr>
                <w:rStyle w:val="SourceText"/>
              </w:rPr>
              <w:t>shadow</w:t>
            </w:r>
            <w:r>
              <w:rPr/>
              <w:t xml:space="preserve"> or </w:t>
            </w:r>
            <w:r>
              <w:rPr>
                <w:rStyle w:val="SourceText"/>
              </w:rPr>
              <w:t>off</w:t>
            </w:r>
            <w:r>
              <w:rPr/>
              <w:t>, recorded with the binding and observable at runtime.</w:t>
            </w:r>
          </w:p>
        </w:tc>
      </w:tr>
    </w:tbl>
    <w:p>
      <w:pPr>
        <w:pStyle w:val="BodyText"/>
        <w:bidi w:val="0"/>
        <w:jc w:val="left"/>
        <w:rPr/>
      </w:pPr>
      <w:r>
        <w:rPr/>
        <w:t xml:space="preserve">A binding </w:t>
      </w:r>
      <w:r>
        <w:rPr>
          <w:rStyle w:val="SourceText"/>
        </w:rPr>
        <w:t>MUST NOT</w:t>
      </w:r>
      <w:r>
        <w:rPr/>
        <w:t xml:space="preserve"> admit a capability for a stage whose accountable principal lacks the authority to own that capability's consequence. Unresolved ownership is a </w:t>
      </w:r>
      <w:r>
        <w:rPr>
          <w:rStyle w:val="SourceText"/>
        </w:rPr>
        <w:t>hold</w:t>
      </w:r>
      <w:r>
        <w:rPr/>
        <w:t xml:space="preserve">, never an </w:t>
      </w:r>
      <w:r>
        <w:rPr>
          <w:rStyle w:val="SourceText"/>
        </w:rPr>
        <w:t>admit</w:t>
      </w:r>
      <w:r>
        <w:rPr/>
        <w:t>.</w:t>
      </w:r>
    </w:p>
    <w:p>
      <w:pPr>
        <w:pStyle w:val="Heading3"/>
        <w:bidi w:val="0"/>
        <w:jc w:val="left"/>
        <w:rPr/>
      </w:pPr>
      <w:r>
        <w:rPr/>
        <w:t>7.1 Capability vocabulary</w:t>
      </w:r>
    </w:p>
    <w:p>
      <w:pPr>
        <w:pStyle w:val="BodyText"/>
        <w:bidi w:val="0"/>
        <w:jc w:val="left"/>
        <w:rPr/>
      </w:pPr>
      <w:r>
        <w:rPr/>
        <w:t>The capability vocabulary is the contract between modeled bindings and enforceable grants.</w:t>
      </w:r>
    </w:p>
    <w:p>
      <w:pPr>
        <w:pStyle w:val="BodyText"/>
        <w:numPr>
          <w:ilvl w:val="0"/>
          <w:numId w:val="11"/>
        </w:numPr>
        <w:tabs>
          <w:tab w:val="clear" w:pos="1134"/>
          <w:tab w:val="left" w:pos="709" w:leader="none"/>
        </w:tabs>
        <w:bidi w:val="0"/>
        <w:spacing w:before="0" w:after="0"/>
        <w:ind w:hanging="283" w:left="709"/>
        <w:jc w:val="left"/>
        <w:rPr/>
      </w:pPr>
      <w:r>
        <w:rPr/>
        <w:t xml:space="preserve">Every capability token </w:t>
      </w:r>
      <w:r>
        <w:rPr>
          <w:rStyle w:val="SourceText"/>
        </w:rPr>
        <w:t>MUST</w:t>
      </w:r>
      <w:r>
        <w:rPr/>
        <w:t xml:space="preserve"> resolve to a non-empty set of enforceable tool grants in the implementation's grant catalog. </w:t>
      </w:r>
    </w:p>
    <w:p>
      <w:pPr>
        <w:pStyle w:val="BodyText"/>
        <w:numPr>
          <w:ilvl w:val="0"/>
          <w:numId w:val="11"/>
        </w:numPr>
        <w:tabs>
          <w:tab w:val="clear" w:pos="1134"/>
          <w:tab w:val="left" w:pos="709" w:leader="none"/>
        </w:tabs>
        <w:bidi w:val="0"/>
        <w:spacing w:before="0" w:after="0"/>
        <w:ind w:hanging="283" w:left="709"/>
        <w:jc w:val="left"/>
        <w:rPr/>
      </w:pPr>
      <w:r>
        <w:rPr/>
        <w:t xml:space="preserve">A token that resolves to nothing is a </w:t>
      </w:r>
      <w:r>
        <w:rPr>
          <w:rStyle w:val="Strong"/>
        </w:rPr>
        <w:t>dangling capability</w:t>
      </w:r>
      <w:r>
        <w:rPr/>
        <w:t xml:space="preserve">. It </w:t>
      </w:r>
      <w:r>
        <w:rPr>
          <w:rStyle w:val="SourceText"/>
        </w:rPr>
        <w:t>MUST</w:t>
      </w:r>
      <w:r>
        <w:rPr/>
        <w:t xml:space="preserve"> fail the §10 consistency check. A dangling token fails safe at runtime (it admits nothing), but in the model it reads as authority that is in force when it is not. </w:t>
      </w:r>
    </w:p>
    <w:p>
      <w:pPr>
        <w:pStyle w:val="BodyText"/>
        <w:numPr>
          <w:ilvl w:val="0"/>
          <w:numId w:val="11"/>
        </w:numPr>
        <w:tabs>
          <w:tab w:val="clear" w:pos="1134"/>
          <w:tab w:val="left" w:pos="709" w:leader="none"/>
        </w:tabs>
        <w:bidi w:val="0"/>
        <w:ind w:hanging="283" w:left="709"/>
        <w:jc w:val="left"/>
        <w:rPr/>
      </w:pPr>
      <w:r>
        <w:rPr/>
        <w:t xml:space="preserve">Capabilities </w:t>
      </w:r>
      <w:r>
        <w:rPr>
          <w:rStyle w:val="SourceText"/>
        </w:rPr>
        <w:t>SHOULD</w:t>
      </w:r>
      <w:r>
        <w:rPr/>
        <w:t xml:space="preserve"> be classed by consequence, reusing the TAK §8.1 consequence classes, so that a binding's risk is legible without reading every tool. </w:t>
      </w:r>
    </w:p>
    <w:p>
      <w:pPr>
        <w:pStyle w:val="BodyText"/>
        <w:bidi w:val="0"/>
        <w:jc w:val="left"/>
        <w:rPr/>
      </w:pPr>
      <w:r>
        <w:rPr>
          <w:rStyle w:val="Strong"/>
        </w:rPr>
        <w:t>Minimum capability classes</w:t>
      </w:r>
      <w:r>
        <w:rPr/>
        <w:t xml:space="preserve"> (informative names; implementations may refine them):</w:t>
      </w:r>
    </w:p>
    <w:tbl>
      <w:tblPr>
        <w:tblW w:w="9065" w:type="dxa"/>
        <w:jc w:val="left"/>
        <w:tblInd w:w="0" w:type="dxa"/>
        <w:tblLayout w:type="fixed"/>
        <w:tblCellMar>
          <w:top w:w="28" w:type="dxa"/>
          <w:left w:w="28" w:type="dxa"/>
          <w:bottom w:w="28" w:type="dxa"/>
          <w:right w:w="28" w:type="dxa"/>
        </w:tblCellMar>
      </w:tblPr>
      <w:tblGrid>
        <w:gridCol w:w="2137"/>
        <w:gridCol w:w="4479"/>
        <w:gridCol w:w="2449"/>
      </w:tblGrid>
      <w:tr>
        <w:trPr>
          <w:tblHeader w:val="true"/>
        </w:trPr>
        <w:tc>
          <w:tcPr>
            <w:tcW w:w="2137" w:type="dxa"/>
            <w:tcBorders/>
            <w:vAlign w:val="center"/>
          </w:tcPr>
          <w:p>
            <w:pPr>
              <w:pStyle w:val="TableHeading"/>
              <w:suppressLineNumbers/>
              <w:bidi w:val="0"/>
              <w:spacing w:before="0" w:after="283"/>
              <w:jc w:val="center"/>
              <w:rPr/>
            </w:pPr>
            <w:r>
              <w:rPr/>
              <w:t>Class</w:t>
            </w:r>
          </w:p>
        </w:tc>
        <w:tc>
          <w:tcPr>
            <w:tcW w:w="4479" w:type="dxa"/>
            <w:tcBorders/>
            <w:vAlign w:val="center"/>
          </w:tcPr>
          <w:p>
            <w:pPr>
              <w:pStyle w:val="TableHeading"/>
              <w:suppressLineNumbers/>
              <w:bidi w:val="0"/>
              <w:spacing w:before="0" w:after="283"/>
              <w:jc w:val="center"/>
              <w:rPr/>
            </w:pPr>
            <w:r>
              <w:rPr/>
              <w:t>Example tools</w:t>
            </w:r>
          </w:p>
        </w:tc>
        <w:tc>
          <w:tcPr>
            <w:tcW w:w="2449" w:type="dxa"/>
            <w:tcBorders/>
            <w:vAlign w:val="center"/>
          </w:tcPr>
          <w:p>
            <w:pPr>
              <w:pStyle w:val="TableHeading"/>
              <w:suppressLineNumbers/>
              <w:bidi w:val="0"/>
              <w:spacing w:before="0" w:after="283"/>
              <w:jc w:val="center"/>
              <w:rPr/>
            </w:pPr>
            <w:r>
              <w:rPr/>
              <w:t>Consequence</w:t>
            </w:r>
          </w:p>
        </w:tc>
      </w:tr>
      <w:tr>
        <w:trPr/>
        <w:tc>
          <w:tcPr>
            <w:tcW w:w="2137" w:type="dxa"/>
            <w:tcBorders/>
            <w:vAlign w:val="center"/>
          </w:tcPr>
          <w:p>
            <w:pPr>
              <w:pStyle w:val="TableContents"/>
              <w:bidi w:val="0"/>
              <w:spacing w:before="0" w:after="283"/>
              <w:jc w:val="left"/>
              <w:rPr/>
            </w:pPr>
            <w:r>
              <w:rPr>
                <w:rStyle w:val="SourceText"/>
              </w:rPr>
              <w:t>read</w:t>
            </w:r>
          </w:p>
        </w:tc>
        <w:tc>
          <w:tcPr>
            <w:tcW w:w="4479" w:type="dxa"/>
            <w:tcBorders/>
            <w:vAlign w:val="center"/>
          </w:tcPr>
          <w:p>
            <w:pPr>
              <w:pStyle w:val="TableContents"/>
              <w:bidi w:val="0"/>
              <w:spacing w:before="0" w:after="283"/>
              <w:jc w:val="left"/>
              <w:rPr/>
            </w:pPr>
            <w:r>
              <w:rPr/>
              <w:t>search, list, get</w:t>
            </w:r>
          </w:p>
        </w:tc>
        <w:tc>
          <w:tcPr>
            <w:tcW w:w="2449" w:type="dxa"/>
            <w:tcBorders/>
            <w:vAlign w:val="center"/>
          </w:tcPr>
          <w:p>
            <w:pPr>
              <w:pStyle w:val="TableContents"/>
              <w:bidi w:val="0"/>
              <w:spacing w:before="0" w:after="283"/>
              <w:jc w:val="left"/>
              <w:rPr/>
            </w:pPr>
            <w:r>
              <w:rPr/>
              <w:t>none</w:t>
            </w:r>
          </w:p>
        </w:tc>
      </w:tr>
      <w:tr>
        <w:trPr/>
        <w:tc>
          <w:tcPr>
            <w:tcW w:w="2137" w:type="dxa"/>
            <w:tcBorders/>
            <w:vAlign w:val="center"/>
          </w:tcPr>
          <w:p>
            <w:pPr>
              <w:pStyle w:val="TableContents"/>
              <w:bidi w:val="0"/>
              <w:spacing w:before="0" w:after="283"/>
              <w:jc w:val="left"/>
              <w:rPr/>
            </w:pPr>
            <w:r>
              <w:rPr>
                <w:rStyle w:val="SourceText"/>
              </w:rPr>
              <w:t>write-internal</w:t>
            </w:r>
          </w:p>
        </w:tc>
        <w:tc>
          <w:tcPr>
            <w:tcW w:w="4479" w:type="dxa"/>
            <w:tcBorders/>
            <w:vAlign w:val="center"/>
          </w:tcPr>
          <w:p>
            <w:pPr>
              <w:pStyle w:val="TableContents"/>
              <w:bidi w:val="0"/>
              <w:spacing w:before="0" w:after="283"/>
              <w:jc w:val="left"/>
              <w:rPr/>
            </w:pPr>
            <w:r>
              <w:rPr/>
              <w:t>update a backlog item, record evidence</w:t>
            </w:r>
          </w:p>
        </w:tc>
        <w:tc>
          <w:tcPr>
            <w:tcW w:w="2449" w:type="dxa"/>
            <w:tcBorders/>
            <w:vAlign w:val="center"/>
          </w:tcPr>
          <w:p>
            <w:pPr>
              <w:pStyle w:val="TableContents"/>
              <w:bidi w:val="0"/>
              <w:spacing w:before="0" w:after="283"/>
              <w:jc w:val="left"/>
              <w:rPr/>
            </w:pPr>
            <w:r>
              <w:rPr/>
              <w:t>internal state</w:t>
            </w:r>
          </w:p>
        </w:tc>
      </w:tr>
      <w:tr>
        <w:trPr/>
        <w:tc>
          <w:tcPr>
            <w:tcW w:w="2137" w:type="dxa"/>
            <w:tcBorders/>
            <w:vAlign w:val="center"/>
          </w:tcPr>
          <w:p>
            <w:pPr>
              <w:pStyle w:val="TableContents"/>
              <w:bidi w:val="0"/>
              <w:spacing w:before="0" w:after="283"/>
              <w:jc w:val="left"/>
              <w:rPr/>
            </w:pPr>
            <w:r>
              <w:rPr>
                <w:rStyle w:val="SourceText"/>
              </w:rPr>
              <w:t>write-source</w:t>
            </w:r>
          </w:p>
        </w:tc>
        <w:tc>
          <w:tcPr>
            <w:tcW w:w="4479" w:type="dxa"/>
            <w:tcBorders/>
            <w:vAlign w:val="center"/>
          </w:tcPr>
          <w:p>
            <w:pPr>
              <w:pStyle w:val="TableContents"/>
              <w:bidi w:val="0"/>
              <w:spacing w:before="0" w:after="283"/>
              <w:jc w:val="left"/>
              <w:rPr/>
            </w:pPr>
            <w:r>
              <w:rPr/>
              <w:t>edit or commit source in a governed worktree</w:t>
            </w:r>
          </w:p>
        </w:tc>
        <w:tc>
          <w:tcPr>
            <w:tcW w:w="2449" w:type="dxa"/>
            <w:tcBorders/>
            <w:vAlign w:val="center"/>
          </w:tcPr>
          <w:p>
            <w:pPr>
              <w:pStyle w:val="TableContents"/>
              <w:bidi w:val="0"/>
              <w:spacing w:before="0" w:after="283"/>
              <w:jc w:val="left"/>
              <w:rPr/>
            </w:pPr>
            <w:r>
              <w:rPr/>
              <w:t>internal state, reversible</w:t>
            </w:r>
          </w:p>
        </w:tc>
      </w:tr>
      <w:tr>
        <w:trPr/>
        <w:tc>
          <w:tcPr>
            <w:tcW w:w="2137" w:type="dxa"/>
            <w:tcBorders/>
            <w:vAlign w:val="center"/>
          </w:tcPr>
          <w:p>
            <w:pPr>
              <w:pStyle w:val="TableContents"/>
              <w:bidi w:val="0"/>
              <w:spacing w:before="0" w:after="283"/>
              <w:jc w:val="left"/>
              <w:rPr/>
            </w:pPr>
            <w:r>
              <w:rPr>
                <w:rStyle w:val="SourceText"/>
              </w:rPr>
              <w:t>authority</w:t>
            </w:r>
          </w:p>
        </w:tc>
        <w:tc>
          <w:tcPr>
            <w:tcW w:w="4479" w:type="dxa"/>
            <w:tcBorders/>
            <w:vAlign w:val="center"/>
          </w:tcPr>
          <w:p>
            <w:pPr>
              <w:pStyle w:val="TableContents"/>
              <w:bidi w:val="0"/>
              <w:spacing w:before="0" w:after="283"/>
              <w:jc w:val="left"/>
              <w:rPr/>
            </w:pPr>
            <w:r>
              <w:rPr/>
              <w:t>grant, revoke, change identity or approval</w:t>
            </w:r>
          </w:p>
        </w:tc>
        <w:tc>
          <w:tcPr>
            <w:tcW w:w="2449" w:type="dxa"/>
            <w:tcBorders/>
            <w:vAlign w:val="center"/>
          </w:tcPr>
          <w:p>
            <w:pPr>
              <w:pStyle w:val="TableContents"/>
              <w:bidi w:val="0"/>
              <w:spacing w:before="0" w:after="283"/>
              <w:jc w:val="left"/>
              <w:rPr/>
            </w:pPr>
            <w:r>
              <w:rPr/>
              <w:t>authority</w:t>
            </w:r>
          </w:p>
        </w:tc>
      </w:tr>
      <w:tr>
        <w:trPr/>
        <w:tc>
          <w:tcPr>
            <w:tcW w:w="2137" w:type="dxa"/>
            <w:tcBorders/>
            <w:vAlign w:val="center"/>
          </w:tcPr>
          <w:p>
            <w:pPr>
              <w:pStyle w:val="TableContents"/>
              <w:bidi w:val="0"/>
              <w:spacing w:before="0" w:after="283"/>
              <w:jc w:val="left"/>
              <w:rPr/>
            </w:pPr>
            <w:r>
              <w:rPr>
                <w:rStyle w:val="SourceText"/>
              </w:rPr>
              <w:t>outward</w:t>
            </w:r>
          </w:p>
        </w:tc>
        <w:tc>
          <w:tcPr>
            <w:tcW w:w="4479" w:type="dxa"/>
            <w:tcBorders/>
            <w:vAlign w:val="center"/>
          </w:tcPr>
          <w:p>
            <w:pPr>
              <w:pStyle w:val="TableContents"/>
              <w:bidi w:val="0"/>
              <w:spacing w:before="0" w:after="283"/>
              <w:jc w:val="left"/>
              <w:rPr/>
            </w:pPr>
            <w:r>
              <w:rPr/>
              <w:t>send a message, publish, post</w:t>
            </w:r>
          </w:p>
        </w:tc>
        <w:tc>
          <w:tcPr>
            <w:tcW w:w="2449" w:type="dxa"/>
            <w:tcBorders/>
            <w:vAlign w:val="center"/>
          </w:tcPr>
          <w:p>
            <w:pPr>
              <w:pStyle w:val="TableContents"/>
              <w:bidi w:val="0"/>
              <w:spacing w:before="0" w:after="283"/>
              <w:jc w:val="left"/>
              <w:rPr/>
            </w:pPr>
            <w:r>
              <w:rPr/>
              <w:t>outward</w:t>
            </w:r>
          </w:p>
        </w:tc>
      </w:tr>
      <w:tr>
        <w:trPr/>
        <w:tc>
          <w:tcPr>
            <w:tcW w:w="2137" w:type="dxa"/>
            <w:tcBorders/>
            <w:vAlign w:val="center"/>
          </w:tcPr>
          <w:p>
            <w:pPr>
              <w:pStyle w:val="TableContents"/>
              <w:bidi w:val="0"/>
              <w:spacing w:before="0" w:after="283"/>
              <w:jc w:val="left"/>
              <w:rPr/>
            </w:pPr>
            <w:r>
              <w:rPr>
                <w:rStyle w:val="SourceText"/>
              </w:rPr>
              <w:t>irreversible</w:t>
            </w:r>
          </w:p>
        </w:tc>
        <w:tc>
          <w:tcPr>
            <w:tcW w:w="4479" w:type="dxa"/>
            <w:tcBorders/>
            <w:vAlign w:val="center"/>
          </w:tcPr>
          <w:p>
            <w:pPr>
              <w:pStyle w:val="TableContents"/>
              <w:bidi w:val="0"/>
              <w:spacing w:before="0" w:after="283"/>
              <w:jc w:val="left"/>
              <w:rPr/>
            </w:pPr>
            <w:r>
              <w:rPr/>
              <w:t>delete, transfer money, deploy to production</w:t>
            </w:r>
          </w:p>
        </w:tc>
        <w:tc>
          <w:tcPr>
            <w:tcW w:w="2449" w:type="dxa"/>
            <w:tcBorders/>
            <w:vAlign w:val="center"/>
          </w:tcPr>
          <w:p>
            <w:pPr>
              <w:pStyle w:val="TableContents"/>
              <w:bidi w:val="0"/>
              <w:spacing w:before="0" w:after="283"/>
              <w:jc w:val="left"/>
              <w:rPr/>
            </w:pPr>
            <w:r>
              <w:rPr/>
              <w:t>irreversible</w:t>
            </w:r>
          </w:p>
        </w:tc>
      </w:tr>
    </w:tbl>
    <w:p>
      <w:pPr>
        <w:pStyle w:val="Heading3"/>
        <w:bidi w:val="0"/>
        <w:jc w:val="left"/>
        <w:rPr/>
      </w:pPr>
      <w:r>
        <w:rPr/>
        <w:t>7.2 Gate resolution semantics</w:t>
      </w:r>
    </w:p>
    <w:p>
      <w:pPr>
        <w:pStyle w:val="BodyText"/>
        <w:numPr>
          <w:ilvl w:val="0"/>
          <w:numId w:val="12"/>
        </w:numPr>
        <w:tabs>
          <w:tab w:val="clear" w:pos="1134"/>
          <w:tab w:val="left" w:pos="709" w:leader="none"/>
        </w:tabs>
        <w:bidi w:val="0"/>
        <w:spacing w:before="0" w:after="0"/>
        <w:ind w:hanging="283" w:left="709"/>
        <w:jc w:val="left"/>
        <w:rPr/>
      </w:pPr>
      <w:r>
        <w:rPr/>
        <w:t xml:space="preserve">A gate </w:t>
      </w:r>
      <w:r>
        <w:rPr>
          <w:rStyle w:val="SourceText"/>
        </w:rPr>
        <w:t>MUST</w:t>
      </w:r>
      <w:r>
        <w:rPr/>
        <w:t xml:space="preserve"> resolve to exactly one of </w:t>
      </w:r>
      <w:r>
        <w:rPr>
          <w:rStyle w:val="SourceText"/>
        </w:rPr>
        <w:t>admit</w:t>
      </w:r>
      <w:r>
        <w:rPr/>
        <w:t xml:space="preserve">, </w:t>
      </w:r>
      <w:r>
        <w:rPr>
          <w:rStyle w:val="SourceText"/>
        </w:rPr>
        <w:t>refuse</w:t>
      </w:r>
      <w:r>
        <w:rPr/>
        <w:t xml:space="preserve">, </w:t>
      </w:r>
      <w:r>
        <w:rPr>
          <w:rStyle w:val="SourceText"/>
        </w:rPr>
        <w:t>hold</w:t>
      </w:r>
      <w:r>
        <w:rPr/>
        <w:t xml:space="preserve"> or </w:t>
      </w:r>
      <w:r>
        <w:rPr>
          <w:rStyle w:val="SourceText"/>
        </w:rPr>
        <w:t>escalate</w:t>
      </w:r>
      <w:r>
        <w:rPr/>
        <w:t xml:space="preserve">. </w:t>
      </w:r>
    </w:p>
    <w:p>
      <w:pPr>
        <w:pStyle w:val="BodyText"/>
        <w:numPr>
          <w:ilvl w:val="0"/>
          <w:numId w:val="12"/>
        </w:numPr>
        <w:tabs>
          <w:tab w:val="clear" w:pos="1134"/>
          <w:tab w:val="left" w:pos="709" w:leader="none"/>
        </w:tabs>
        <w:bidi w:val="0"/>
        <w:spacing w:before="0" w:after="0"/>
        <w:ind w:hanging="283" w:left="709"/>
        <w:jc w:val="left"/>
        <w:rPr/>
      </w:pPr>
      <w:r>
        <w:rPr/>
        <w:t xml:space="preserve">Hard constraints in the owning scope </w:t>
      </w:r>
      <w:r>
        <w:rPr>
          <w:rStyle w:val="SourceText"/>
        </w:rPr>
        <w:t>MUST</w:t>
      </w:r>
      <w:r>
        <w:rPr/>
        <w:t xml:space="preserve"> be applied before any preference ranking (TAK §7.13). A preference score cannot turn a </w:t>
      </w:r>
      <w:r>
        <w:rPr>
          <w:rStyle w:val="SourceText"/>
        </w:rPr>
        <w:t>refuse</w:t>
      </w:r>
      <w:r>
        <w:rPr/>
        <w:t xml:space="preserve"> into an </w:t>
      </w:r>
      <w:r>
        <w:rPr>
          <w:rStyle w:val="SourceText"/>
        </w:rPr>
        <w:t>admit</w:t>
      </w:r>
      <w:r>
        <w:rPr/>
        <w:t xml:space="preserve">. </w:t>
      </w:r>
    </w:p>
    <w:p>
      <w:pPr>
        <w:pStyle w:val="BodyText"/>
        <w:numPr>
          <w:ilvl w:val="0"/>
          <w:numId w:val="12"/>
        </w:numPr>
        <w:tabs>
          <w:tab w:val="clear" w:pos="1134"/>
          <w:tab w:val="left" w:pos="709" w:leader="none"/>
        </w:tabs>
        <w:bidi w:val="0"/>
        <w:spacing w:before="0" w:after="0"/>
        <w:ind w:hanging="283" w:left="709"/>
        <w:jc w:val="left"/>
        <w:rPr/>
      </w:pPr>
      <w:r>
        <w:rPr/>
        <w:t xml:space="preserve">Missing evidence </w:t>
      </w:r>
      <w:r>
        <w:rPr>
          <w:rStyle w:val="SourceText"/>
        </w:rPr>
        <w:t>MUST</w:t>
      </w:r>
      <w:r>
        <w:rPr/>
        <w:t xml:space="preserve"> yield </w:t>
      </w:r>
      <w:r>
        <w:rPr>
          <w:rStyle w:val="SourceText"/>
        </w:rPr>
        <w:t>hold</w:t>
      </w:r>
      <w:r>
        <w:rPr/>
        <w:t xml:space="preserve">. Missing authority </w:t>
      </w:r>
      <w:r>
        <w:rPr>
          <w:rStyle w:val="SourceText"/>
        </w:rPr>
        <w:t>MUST</w:t>
      </w:r>
      <w:r>
        <w:rPr/>
        <w:t xml:space="preserve"> yield </w:t>
      </w:r>
      <w:r>
        <w:rPr>
          <w:rStyle w:val="SourceText"/>
        </w:rPr>
        <w:t>escalate</w:t>
      </w:r>
      <w:r>
        <w:rPr/>
        <w:t xml:space="preserve">. Neither defaults to </w:t>
      </w:r>
      <w:r>
        <w:rPr>
          <w:rStyle w:val="SourceText"/>
        </w:rPr>
        <w:t>admit</w:t>
      </w:r>
      <w:r>
        <w:rPr/>
        <w:t xml:space="preserve">. </w:t>
      </w:r>
    </w:p>
    <w:p>
      <w:pPr>
        <w:pStyle w:val="BodyText"/>
        <w:numPr>
          <w:ilvl w:val="0"/>
          <w:numId w:val="12"/>
        </w:numPr>
        <w:tabs>
          <w:tab w:val="clear" w:pos="1134"/>
          <w:tab w:val="left" w:pos="709" w:leader="none"/>
        </w:tabs>
        <w:bidi w:val="0"/>
        <w:ind w:hanging="283" w:left="709"/>
        <w:jc w:val="left"/>
        <w:rPr/>
      </w:pPr>
      <w:r>
        <w:rPr/>
        <w:t xml:space="preserve">An </w:t>
      </w:r>
      <w:r>
        <w:rPr>
          <w:rStyle w:val="SourceText"/>
        </w:rPr>
        <w:t>admit</w:t>
      </w:r>
      <w:r>
        <w:rPr/>
        <w:t xml:space="preserve"> </w:t>
      </w:r>
      <w:r>
        <w:rPr>
          <w:rStyle w:val="SourceText"/>
        </w:rPr>
        <w:t>MUST</w:t>
      </w:r>
      <w:r>
        <w:rPr/>
        <w:t xml:space="preserve"> be recorded with the binding version, the scope, the resolver (doctrine reference and/or human principal), the evidence references and the validity. </w:t>
      </w:r>
    </w:p>
    <w:p>
      <w:pPr>
        <w:pStyle w:val="Heading3"/>
        <w:bidi w:val="0"/>
        <w:jc w:val="left"/>
        <w:rPr/>
      </w:pPr>
      <w:r>
        <w:rPr/>
        <w:t>7.3 The pairing at a glance</w:t>
      </w:r>
    </w:p>
    <w:p>
      <w:pPr>
        <w:pStyle w:val="BodyText"/>
        <w:bidi w:val="0"/>
        <w:jc w:val="left"/>
        <w:rPr/>
      </w:pPr>
      <w:r>
        <w:rPr/>
        <w:t xml:space="preserve">Every consequential tool call has two independent questions behind it. One is on the decision side: </w:t>
      </w:r>
      <w:r>
        <w:rPr>
          <w:rStyle w:val="Emphasis"/>
        </w:rPr>
        <w:t>has the authority that owns this class of action decided it may happen?</w:t>
      </w:r>
      <w:r>
        <w:rPr/>
        <w:t xml:space="preserve"> The other is on the permission side: </w:t>
      </w:r>
      <w:r>
        <w:rPr>
          <w:rStyle w:val="Emphasis"/>
        </w:rPr>
        <w:t>is this tool inside the envelope this actor may reach, for this stage of this work?</w:t>
      </w:r>
      <w:r>
        <w:rPr/>
        <w:t xml:space="preserve"> GPP binds the two, and </w:t>
      </w:r>
      <w:r>
        <w:rPr>
          <w:rStyle w:val="SourceText"/>
        </w:rPr>
        <w:t>TAK</w:t>
      </w:r>
      <w:r>
        <w:rPr/>
        <w:t xml:space="preserve"> enforces both on every call. Neither side can stand in for the other. A high decision score does not make a tool reachable, and holding a grant does not answer who decided.</w:t>
      </w:r>
    </w:p>
    <w:p>
      <w:pPr>
        <w:pStyle w:val="BodyText"/>
        <w:bidi w:val="0"/>
        <w:jc w:val="left"/>
        <w:rPr/>
      </w:pPr>
      <w:r>
        <w:rPr/>
        <w:drawing>
          <wp:inline distT="0" distB="0" distL="0" distR="0">
            <wp:extent cx="29870400" cy="54406800"/>
            <wp:effectExtent l="0" t="0" r="0" b="0"/>
            <wp:docPr id="1" name="Image1" descr="Diagr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Diagram 1"/>
                    <pic:cNvPicPr>
                      <a:picLocks noChangeAspect="1" noChangeArrowheads="1"/>
                    </pic:cNvPicPr>
                  </pic:nvPicPr>
                  <pic:blipFill>
                    <a:blip r:embed="rId13"/>
                    <a:stretch>
                      <a:fillRect/>
                    </a:stretch>
                  </pic:blipFill>
                  <pic:spPr bwMode="auto">
                    <a:xfrm>
                      <a:off x="0" y="0"/>
                      <a:ext cx="29870400" cy="54406800"/>
                    </a:xfrm>
                    <a:prstGeom prst="rect">
                      <a:avLst/>
                    </a:prstGeom>
                    <a:noFill/>
                  </pic:spPr>
                </pic:pic>
              </a:graphicData>
            </a:graphic>
          </wp:inline>
        </w:drawing>
      </w:r>
    </w:p>
    <w:p>
      <w:pPr>
        <w:pStyle w:val="BodyText"/>
        <w:bidi w:val="0"/>
        <w:jc w:val="left"/>
        <w:rPr/>
      </w:pPr>
      <w:r>
        <w:rPr/>
        <w:t>How to read it:</w:t>
      </w:r>
    </w:p>
    <w:p>
      <w:pPr>
        <w:pStyle w:val="BodyText"/>
        <w:numPr>
          <w:ilvl w:val="0"/>
          <w:numId w:val="13"/>
        </w:numPr>
        <w:tabs>
          <w:tab w:val="clear" w:pos="1134"/>
          <w:tab w:val="left" w:pos="709" w:leader="none"/>
        </w:tabs>
        <w:bidi w:val="0"/>
        <w:spacing w:before="0" w:after="0"/>
        <w:ind w:hanging="283" w:left="709"/>
        <w:jc w:val="left"/>
        <w:rPr/>
      </w:pPr>
      <w:r>
        <w:rPr>
          <w:rStyle w:val="Strong"/>
        </w:rPr>
        <w:t>The left side runs once per class of work, not once per call.</w:t>
      </w:r>
      <w:r>
        <w:rPr/>
        <w:t xml:space="preserve"> An </w:t>
      </w:r>
      <w:r>
        <w:rPr>
          <w:rStyle w:val="SourceText"/>
        </w:rPr>
        <w:t>admit</w:t>
      </w:r>
      <w:r>
        <w:rPr/>
        <w:t xml:space="preserve"> stays valid for the binding's validity window (§9.1). Later calls inside the envelope reuse it, so nobody is asked again for each keystroke. </w:t>
      </w:r>
    </w:p>
    <w:p>
      <w:pPr>
        <w:pStyle w:val="BodyText"/>
        <w:numPr>
          <w:ilvl w:val="0"/>
          <w:numId w:val="13"/>
        </w:numPr>
        <w:tabs>
          <w:tab w:val="clear" w:pos="1134"/>
          <w:tab w:val="left" w:pos="709" w:leader="none"/>
        </w:tabs>
        <w:bidi w:val="0"/>
        <w:spacing w:before="0" w:after="0"/>
        <w:ind w:hanging="283" w:left="709"/>
        <w:jc w:val="left"/>
        <w:rPr/>
      </w:pPr>
      <w:r>
        <w:rPr>
          <w:rStyle w:val="Strong"/>
        </w:rPr>
        <w:t>The right side runs on every call</w:t>
      </w:r>
      <w:r>
        <w:rPr/>
        <w:t xml:space="preserve">, and it can only narrow. Each term of the intersection is owned by </w:t>
      </w:r>
      <w:r>
        <w:rPr>
          <w:rStyle w:val="SourceText"/>
        </w:rPr>
        <w:t>TAK</w:t>
      </w:r>
      <w:r>
        <w:rPr/>
        <w:t xml:space="preserve"> §7.2; the room and stage term is what GPP models. </w:t>
      </w:r>
    </w:p>
    <w:p>
      <w:pPr>
        <w:pStyle w:val="BodyText"/>
        <w:numPr>
          <w:ilvl w:val="0"/>
          <w:numId w:val="13"/>
        </w:numPr>
        <w:tabs>
          <w:tab w:val="clear" w:pos="1134"/>
          <w:tab w:val="left" w:pos="709" w:leader="none"/>
        </w:tabs>
        <w:bidi w:val="0"/>
        <w:spacing w:before="0" w:after="0"/>
        <w:ind w:hanging="283" w:left="709"/>
        <w:jc w:val="left"/>
        <w:rPr/>
      </w:pPr>
      <w:r>
        <w:rPr>
          <w:rStyle w:val="Strong"/>
        </w:rPr>
        <w:t xml:space="preserve">The two sides meet only at </w:t>
      </w:r>
      <w:r>
        <w:rPr>
          <w:rStyle w:val="SourceText"/>
        </w:rPr>
        <w:t>TAK</w:t>
      </w:r>
      <w:r>
        <w:rPr>
          <w:rStyle w:val="Strong"/>
        </w:rPr>
        <w:t>.</w:t>
      </w:r>
      <w:r>
        <w:rPr/>
        <w:t xml:space="preserve"> A tool runs only when a current decision admits its class </w:t>
      </w:r>
      <w:r>
        <w:rPr>
          <w:rStyle w:val="Emphasis"/>
        </w:rPr>
        <w:t>and</w:t>
      </w:r>
      <w:r>
        <w:rPr/>
        <w:t xml:space="preserve"> the tool is in the envelope. Anything outside the envelope never reaches a human prompt. </w:t>
      </w:r>
    </w:p>
    <w:p>
      <w:pPr>
        <w:pStyle w:val="BodyText"/>
        <w:numPr>
          <w:ilvl w:val="0"/>
          <w:numId w:val="13"/>
        </w:numPr>
        <w:tabs>
          <w:tab w:val="clear" w:pos="1134"/>
          <w:tab w:val="left" w:pos="709" w:leader="none"/>
        </w:tabs>
        <w:bidi w:val="0"/>
        <w:ind w:hanging="283" w:left="709"/>
        <w:jc w:val="left"/>
        <w:rPr/>
      </w:pPr>
      <w:r>
        <w:rPr>
          <w:rStyle w:val="Strong"/>
        </w:rPr>
        <w:t>The scoring stays inside its scope.</w:t>
      </w:r>
      <w:r>
        <w:rPr/>
        <w:t xml:space="preserve"> WWMD, WWWD and WSID are consulted according to which scope owns the gate, and their scores are never averaged into one number across scopes (§7.2, TAK §7.13). In DPF, a consequential call inside a Workroom also passes the WWWD × WSID alignment gate, where the most restrictive verdict wins (Annex A). </w:t>
      </w:r>
    </w:p>
    <w:p>
      <w:pPr>
        <w:pStyle w:val="BodyText"/>
        <w:bidi w:val="0"/>
        <w:jc w:val="left"/>
        <w:rPr/>
      </w:pPr>
      <w:r>
        <w:rPr/>
        <w:t>The diagram is the GPP model. Annex A says which parts of it DPF enforces today, and Annex C walks through it for Build Studio.</w:t>
      </w:r>
    </w:p>
    <w:p>
      <w:pPr>
        <w:pStyle w:val="Heading2"/>
        <w:bidi w:val="0"/>
        <w:jc w:val="left"/>
        <w:rPr/>
      </w:pPr>
      <w:r>
        <w:rPr/>
        <w:t>8. Capability co-occurrence</w:t>
      </w:r>
    </w:p>
    <w:p>
      <w:pPr>
        <w:pStyle w:val="BodyText"/>
        <w:bidi w:val="0"/>
        <w:jc w:val="left"/>
        <w:rPr/>
      </w:pPr>
      <w:r>
        <w:rPr/>
        <w:t xml:space="preserve">A single envelope can combine capabilities that are each safe alone and dangerous together. GPP adopts the </w:t>
      </w:r>
      <w:r>
        <w:rPr>
          <w:rStyle w:val="Emphasis"/>
        </w:rPr>
        <w:t>Agents Rule of Two</w:t>
      </w:r>
      <w:r>
        <w:rPr/>
        <w:t xml:space="preserve"> as a model-level constraint.</w:t>
      </w:r>
    </w:p>
    <w:p>
      <w:pPr>
        <w:pStyle w:val="BodyText"/>
        <w:numPr>
          <w:ilvl w:val="0"/>
          <w:numId w:val="14"/>
        </w:numPr>
        <w:tabs>
          <w:tab w:val="clear" w:pos="1134"/>
          <w:tab w:val="left" w:pos="709" w:leader="none"/>
        </w:tabs>
        <w:bidi w:val="0"/>
        <w:spacing w:before="0" w:after="0"/>
        <w:ind w:hanging="283" w:left="709"/>
        <w:jc w:val="left"/>
        <w:rPr/>
      </w:pPr>
      <w:r>
        <w:rPr/>
        <w:t xml:space="preserve">An implementation </w:t>
      </w:r>
      <w:r>
        <w:rPr>
          <w:rStyle w:val="SourceText"/>
        </w:rPr>
        <w:t>MUST</w:t>
      </w:r>
      <w:r>
        <w:rPr/>
        <w:t xml:space="preserve"> tag each capability with whether it introduces </w:t>
      </w:r>
      <w:r>
        <w:rPr>
          <w:rStyle w:val="Strong"/>
        </w:rPr>
        <w:t>untrusted input</w:t>
      </w:r>
      <w:r>
        <w:rPr/>
        <w:t xml:space="preserve">, </w:t>
      </w:r>
      <w:r>
        <w:rPr>
          <w:rStyle w:val="Strong"/>
        </w:rPr>
        <w:t>sensitive access</w:t>
      </w:r>
      <w:r>
        <w:rPr/>
        <w:t xml:space="preserve"> or </w:t>
      </w:r>
      <w:r>
        <w:rPr>
          <w:rStyle w:val="Strong"/>
        </w:rPr>
        <w:t>state change / outward communication</w:t>
      </w:r>
      <w:r>
        <w:rPr/>
        <w:t xml:space="preserve">. </w:t>
      </w:r>
    </w:p>
    <w:p>
      <w:pPr>
        <w:pStyle w:val="BodyText"/>
        <w:numPr>
          <w:ilvl w:val="0"/>
          <w:numId w:val="14"/>
        </w:numPr>
        <w:tabs>
          <w:tab w:val="clear" w:pos="1134"/>
          <w:tab w:val="left" w:pos="709" w:leader="none"/>
        </w:tabs>
        <w:bidi w:val="0"/>
        <w:spacing w:before="0" w:after="0"/>
        <w:ind w:hanging="283" w:left="709"/>
        <w:jc w:val="left"/>
        <w:rPr/>
      </w:pPr>
      <w:r>
        <w:rPr/>
        <w:t xml:space="preserve">An envelope that combines all three for one actor in one session </w:t>
      </w:r>
      <w:r>
        <w:rPr>
          <w:rStyle w:val="SourceText"/>
        </w:rPr>
        <w:t>MUST</w:t>
      </w:r>
      <w:r>
        <w:rPr/>
        <w:t xml:space="preserve"> require a binding whose gate resolution mode includes an accountable human or an independent validator, and </w:t>
      </w:r>
      <w:r>
        <w:rPr>
          <w:rStyle w:val="SourceText"/>
        </w:rPr>
        <w:t>MUST</w:t>
      </w:r>
      <w:r>
        <w:rPr/>
        <w:t xml:space="preserve"> record that combination as a distinct, reviewable class. </w:t>
      </w:r>
    </w:p>
    <w:p>
      <w:pPr>
        <w:pStyle w:val="BodyText"/>
        <w:numPr>
          <w:ilvl w:val="0"/>
          <w:numId w:val="14"/>
        </w:numPr>
        <w:tabs>
          <w:tab w:val="clear" w:pos="1134"/>
          <w:tab w:val="left" w:pos="709" w:leader="none"/>
        </w:tabs>
        <w:bidi w:val="0"/>
        <w:ind w:hanging="283" w:left="709"/>
        <w:jc w:val="left"/>
        <w:rPr/>
      </w:pPr>
      <w:r>
        <w:rPr/>
        <w:t xml:space="preserve">An implementation </w:t>
      </w:r>
      <w:r>
        <w:rPr>
          <w:rStyle w:val="SourceText"/>
        </w:rPr>
        <w:t>SHOULD</w:t>
      </w:r>
      <w:r>
        <w:rPr/>
        <w:t xml:space="preserve"> report every envelope that reaches the full combination, per actor. </w:t>
      </w:r>
    </w:p>
    <w:p>
      <w:pPr>
        <w:pStyle w:val="BodyText"/>
        <w:bidi w:val="0"/>
        <w:jc w:val="left"/>
        <w:rPr/>
      </w:pPr>
      <w:r>
        <w:rPr/>
        <w:t xml:space="preserve">This constraint governs the model. Data-flow techniques such as capability-tagged values (CaMeL-style) remain runtime controls under </w:t>
      </w:r>
      <w:r>
        <w:rPr>
          <w:rStyle w:val="SourceText"/>
        </w:rPr>
        <w:t>TAK</w:t>
      </w:r>
      <w:r>
        <w:rPr/>
        <w:t xml:space="preserve"> and are complementary.</w:t>
      </w:r>
    </w:p>
    <w:p>
      <w:pPr>
        <w:pStyle w:val="Heading2"/>
        <w:bidi w:val="0"/>
        <w:jc w:val="left"/>
        <w:rPr/>
      </w:pPr>
      <w:r>
        <w:rPr/>
        <w:t>9. Bindings over time</w:t>
      </w:r>
    </w:p>
    <w:p>
      <w:pPr>
        <w:pStyle w:val="Heading3"/>
        <w:bidi w:val="0"/>
        <w:jc w:val="left"/>
        <w:rPr/>
      </w:pPr>
      <w:r>
        <w:rPr/>
        <w:t>9.1 Decide once, act within</w:t>
      </w:r>
    </w:p>
    <w:p>
      <w:pPr>
        <w:pStyle w:val="BodyText"/>
        <w:bidi w:val="0"/>
        <w:jc w:val="left"/>
        <w:rPr/>
      </w:pPr>
      <w:r>
        <w:rPr/>
        <w:t>A satisfied binding authorizes every call inside its capability set, subject scope and validity without a further human prompt. This is the mechanism that removes approval fatigue without removing authority. The decision is made at the granularity a person can judge, and enforcement is per call.</w:t>
      </w:r>
    </w:p>
    <w:p>
      <w:pPr>
        <w:pStyle w:val="Heading3"/>
        <w:bidi w:val="0"/>
        <w:jc w:val="left"/>
        <w:rPr/>
      </w:pPr>
      <w:r>
        <w:rPr/>
        <w:t>9.2 Phase boundaries</w:t>
      </w:r>
    </w:p>
    <w:p>
      <w:pPr>
        <w:pStyle w:val="BodyText"/>
        <w:bidi w:val="0"/>
        <w:jc w:val="left"/>
        <w:rPr/>
      </w:pPr>
      <w:r>
        <w:rPr/>
        <w:t xml:space="preserve">A human checkpoint belongs at a stage boundary where a decision can change the outcome, not on calls the decision has already admitted. An implementation </w:t>
      </w:r>
      <w:r>
        <w:rPr>
          <w:rStyle w:val="SourceText"/>
        </w:rPr>
        <w:t>SHOULD NOT</w:t>
      </w:r>
      <w:r>
        <w:rPr/>
        <w:t xml:space="preserve"> re-prompt for calls a current binding admits. A prompt that cannot change the decision is a rubber stamp and trains inattention.</w:t>
      </w:r>
    </w:p>
    <w:p>
      <w:pPr>
        <w:pStyle w:val="Heading3"/>
        <w:bidi w:val="0"/>
        <w:jc w:val="left"/>
        <w:rPr/>
      </w:pPr>
      <w:r>
        <w:rPr/>
        <w:t>9.3 Expiry, revocation and material change</w:t>
      </w:r>
    </w:p>
    <w:p>
      <w:pPr>
        <w:pStyle w:val="BodyText"/>
        <w:numPr>
          <w:ilvl w:val="0"/>
          <w:numId w:val="15"/>
        </w:numPr>
        <w:tabs>
          <w:tab w:val="clear" w:pos="1134"/>
          <w:tab w:val="left" w:pos="709" w:leader="none"/>
        </w:tabs>
        <w:bidi w:val="0"/>
        <w:spacing w:before="0" w:after="0"/>
        <w:ind w:hanging="283" w:left="709"/>
        <w:jc w:val="left"/>
        <w:rPr/>
      </w:pPr>
      <w:r>
        <w:rPr/>
        <w:t xml:space="preserve">A gate decision </w:t>
      </w:r>
      <w:r>
        <w:rPr>
          <w:rStyle w:val="SourceText"/>
        </w:rPr>
        <w:t>MUST</w:t>
      </w:r>
      <w:r>
        <w:rPr/>
        <w:t xml:space="preserve"> stop authorizing when its validity ends, when a stop condition fires, or when the binding version changes. </w:t>
      </w:r>
    </w:p>
    <w:p>
      <w:pPr>
        <w:pStyle w:val="BodyText"/>
        <w:numPr>
          <w:ilvl w:val="0"/>
          <w:numId w:val="15"/>
        </w:numPr>
        <w:tabs>
          <w:tab w:val="clear" w:pos="1134"/>
          <w:tab w:val="left" w:pos="709" w:leader="none"/>
        </w:tabs>
        <w:bidi w:val="0"/>
        <w:spacing w:before="0" w:after="0"/>
        <w:ind w:hanging="283" w:left="709"/>
        <w:jc w:val="left"/>
        <w:rPr/>
      </w:pPr>
      <w:r>
        <w:rPr/>
        <w:t xml:space="preserve">A change in the actor's operating profile that the applicable </w:t>
      </w:r>
      <w:r>
        <w:rPr>
          <w:rStyle w:val="SourceText"/>
        </w:rPr>
        <w:t>TAK-JSI</w:t>
      </w:r>
      <w:r>
        <w:rPr/>
        <w:t xml:space="preserve"> rules treat as material </w:t>
      </w:r>
      <w:r>
        <w:rPr>
          <w:rStyle w:val="SourceText"/>
        </w:rPr>
        <w:t>MUST</w:t>
      </w:r>
      <w:r>
        <w:rPr/>
        <w:t xml:space="preserve"> re-evaluate any binding that requires qualification. </w:t>
      </w:r>
    </w:p>
    <w:p>
      <w:pPr>
        <w:pStyle w:val="BodyText"/>
        <w:numPr>
          <w:ilvl w:val="0"/>
          <w:numId w:val="15"/>
        </w:numPr>
        <w:tabs>
          <w:tab w:val="clear" w:pos="1134"/>
          <w:tab w:val="left" w:pos="709" w:leader="none"/>
        </w:tabs>
        <w:bidi w:val="0"/>
        <w:ind w:hanging="283" w:left="709"/>
        <w:jc w:val="left"/>
        <w:rPr/>
      </w:pPr>
      <w:r>
        <w:rPr/>
        <w:t xml:space="preserve">Revocation </w:t>
      </w:r>
      <w:r>
        <w:rPr>
          <w:rStyle w:val="SourceText"/>
        </w:rPr>
        <w:t>MUST</w:t>
      </w:r>
      <w:r>
        <w:rPr/>
        <w:t xml:space="preserve"> take effect at the next tool reach. It </w:t>
      </w:r>
      <w:r>
        <w:rPr>
          <w:rStyle w:val="SourceText"/>
        </w:rPr>
        <w:t>MUST NOT</w:t>
      </w:r>
      <w:r>
        <w:rPr/>
        <w:t xml:space="preserve"> wait for the envelope to be recomputed on some later schedule. </w:t>
      </w:r>
    </w:p>
    <w:p>
      <w:pPr>
        <w:pStyle w:val="Heading3"/>
        <w:bidi w:val="0"/>
        <w:jc w:val="left"/>
        <w:rPr/>
      </w:pPr>
      <w:r>
        <w:rPr/>
        <w:t>9.4 Narrowing only</w:t>
      </w:r>
    </w:p>
    <w:p>
      <w:pPr>
        <w:pStyle w:val="BodyText"/>
        <w:bidi w:val="0"/>
        <w:jc w:val="left"/>
        <w:rPr/>
      </w:pPr>
      <w:r>
        <w:rPr/>
        <w:t>A Workroom's posture, a proactivity setting or an autonomy level can narrow an envelope. None can widen it (TAK §8.11.2). Raising autonomy changes how often a gated class proceeds without a person. It does not admit a new class.</w:t>
      </w:r>
    </w:p>
    <w:p>
      <w:pPr>
        <w:pStyle w:val="Heading2"/>
        <w:bidi w:val="0"/>
        <w:jc w:val="left"/>
        <w:rPr/>
      </w:pPr>
      <w:r>
        <w:rPr/>
        <w:t>10. Completeness and consistency</w:t>
      </w:r>
    </w:p>
    <w:p>
      <w:pPr>
        <w:pStyle w:val="BodyText"/>
        <w:bidi w:val="0"/>
        <w:jc w:val="left"/>
        <w:rPr/>
      </w:pPr>
      <w:r>
        <w:rPr/>
        <w:t xml:space="preserve">A conforming </w:t>
      </w:r>
      <w:r>
        <w:rPr>
          <w:rStyle w:val="SourceText"/>
        </w:rPr>
        <w:t>GPP-Modeled</w:t>
      </w:r>
      <w:r>
        <w:rPr/>
        <w:t xml:space="preserve"> implementation </w:t>
      </w:r>
      <w:r>
        <w:rPr>
          <w:rStyle w:val="SourceText"/>
        </w:rPr>
        <w:t>MUST</w:t>
      </w:r>
      <w:r>
        <w:rPr/>
        <w:t xml:space="preserve"> be able to run the following checks over its bindings and report every violation:</w:t>
      </w:r>
    </w:p>
    <w:tbl>
      <w:tblPr>
        <w:tblW w:w="23243" w:type="dxa"/>
        <w:jc w:val="left"/>
        <w:tblInd w:w="0" w:type="dxa"/>
        <w:tblLayout w:type="fixed"/>
        <w:tblCellMar>
          <w:top w:w="28" w:type="dxa"/>
          <w:left w:w="28" w:type="dxa"/>
          <w:bottom w:w="28" w:type="dxa"/>
          <w:right w:w="28" w:type="dxa"/>
        </w:tblCellMar>
      </w:tblPr>
      <w:tblGrid>
        <w:gridCol w:w="3125"/>
        <w:gridCol w:w="20118"/>
      </w:tblGrid>
      <w:tr>
        <w:trPr>
          <w:tblHeader w:val="true"/>
        </w:trPr>
        <w:tc>
          <w:tcPr>
            <w:tcW w:w="3125" w:type="dxa"/>
            <w:tcBorders/>
            <w:vAlign w:val="center"/>
          </w:tcPr>
          <w:p>
            <w:pPr>
              <w:pStyle w:val="TableHeading"/>
              <w:suppressLineNumbers/>
              <w:bidi w:val="0"/>
              <w:spacing w:before="0" w:after="283"/>
              <w:jc w:val="center"/>
              <w:rPr/>
            </w:pPr>
            <w:r>
              <w:rPr/>
              <w:t>Check</w:t>
            </w:r>
          </w:p>
        </w:tc>
        <w:tc>
          <w:tcPr>
            <w:tcW w:w="20118" w:type="dxa"/>
            <w:tcBorders/>
            <w:vAlign w:val="center"/>
          </w:tcPr>
          <w:p>
            <w:pPr>
              <w:pStyle w:val="TableHeading"/>
              <w:suppressLineNumbers/>
              <w:bidi w:val="0"/>
              <w:spacing w:before="0" w:after="283"/>
              <w:jc w:val="center"/>
              <w:rPr/>
            </w:pPr>
            <w:r>
              <w:rPr/>
              <w:t>Fails when</w:t>
            </w:r>
          </w:p>
        </w:tc>
      </w:tr>
      <w:tr>
        <w:trPr/>
        <w:tc>
          <w:tcPr>
            <w:tcW w:w="3125" w:type="dxa"/>
            <w:tcBorders/>
            <w:vAlign w:val="center"/>
          </w:tcPr>
          <w:p>
            <w:pPr>
              <w:pStyle w:val="TableContents"/>
              <w:bidi w:val="0"/>
              <w:spacing w:before="0" w:after="283"/>
              <w:jc w:val="left"/>
              <w:rPr/>
            </w:pPr>
            <w:r>
              <w:rPr/>
              <w:t>C-1 Stage coverage</w:t>
            </w:r>
          </w:p>
        </w:tc>
        <w:tc>
          <w:tcPr>
            <w:tcW w:w="20118" w:type="dxa"/>
            <w:tcBorders/>
            <w:vAlign w:val="center"/>
          </w:tcPr>
          <w:p>
            <w:pPr>
              <w:pStyle w:val="TableContents"/>
              <w:bidi w:val="0"/>
              <w:spacing w:before="0" w:after="283"/>
              <w:jc w:val="left"/>
              <w:rPr/>
            </w:pPr>
            <w:r>
              <w:rPr/>
              <w:t>A stage of a shape can reach a consequential capability and no binding attached to that stage admits it</w:t>
            </w:r>
          </w:p>
        </w:tc>
      </w:tr>
      <w:tr>
        <w:trPr/>
        <w:tc>
          <w:tcPr>
            <w:tcW w:w="3125" w:type="dxa"/>
            <w:tcBorders/>
            <w:vAlign w:val="center"/>
          </w:tcPr>
          <w:p>
            <w:pPr>
              <w:pStyle w:val="TableContents"/>
              <w:bidi w:val="0"/>
              <w:spacing w:before="0" w:after="283"/>
              <w:jc w:val="left"/>
              <w:rPr/>
            </w:pPr>
            <w:r>
              <w:rPr/>
              <w:t>C-2 Vocabulary resolution</w:t>
            </w:r>
          </w:p>
        </w:tc>
        <w:tc>
          <w:tcPr>
            <w:tcW w:w="20118" w:type="dxa"/>
            <w:tcBorders/>
            <w:vAlign w:val="center"/>
          </w:tcPr>
          <w:p>
            <w:pPr>
              <w:pStyle w:val="TableContents"/>
              <w:bidi w:val="0"/>
              <w:spacing w:before="0" w:after="283"/>
              <w:jc w:val="left"/>
              <w:rPr/>
            </w:pPr>
            <w:r>
              <w:rPr/>
              <w:t>A capability token resolves to no enforceable grant (dangling)</w:t>
            </w:r>
          </w:p>
        </w:tc>
      </w:tr>
      <w:tr>
        <w:trPr/>
        <w:tc>
          <w:tcPr>
            <w:tcW w:w="3125" w:type="dxa"/>
            <w:tcBorders/>
            <w:vAlign w:val="center"/>
          </w:tcPr>
          <w:p>
            <w:pPr>
              <w:pStyle w:val="TableContents"/>
              <w:bidi w:val="0"/>
              <w:spacing w:before="0" w:after="283"/>
              <w:jc w:val="left"/>
              <w:rPr/>
            </w:pPr>
            <w:r>
              <w:rPr/>
              <w:t>C-3 Scope ownership</w:t>
            </w:r>
          </w:p>
        </w:tc>
        <w:tc>
          <w:tcPr>
            <w:tcW w:w="20118" w:type="dxa"/>
            <w:tcBorders/>
            <w:vAlign w:val="center"/>
          </w:tcPr>
          <w:p>
            <w:pPr>
              <w:pStyle w:val="TableContents"/>
              <w:bidi w:val="0"/>
              <w:spacing w:before="0" w:after="283"/>
              <w:jc w:val="left"/>
              <w:rPr/>
            </w:pPr>
            <w:r>
              <w:rPr/>
              <w:t>A binding names no owning scope, or more than one</w:t>
            </w:r>
          </w:p>
        </w:tc>
      </w:tr>
      <w:tr>
        <w:trPr/>
        <w:tc>
          <w:tcPr>
            <w:tcW w:w="3125" w:type="dxa"/>
            <w:tcBorders/>
            <w:vAlign w:val="center"/>
          </w:tcPr>
          <w:p>
            <w:pPr>
              <w:pStyle w:val="TableContents"/>
              <w:bidi w:val="0"/>
              <w:spacing w:before="0" w:after="283"/>
              <w:jc w:val="left"/>
              <w:rPr/>
            </w:pPr>
            <w:r>
              <w:rPr/>
              <w:t>C-4 Accountable authority</w:t>
            </w:r>
          </w:p>
        </w:tc>
        <w:tc>
          <w:tcPr>
            <w:tcW w:w="20118" w:type="dxa"/>
            <w:tcBorders/>
            <w:vAlign w:val="center"/>
          </w:tcPr>
          <w:p>
            <w:pPr>
              <w:pStyle w:val="TableContents"/>
              <w:bidi w:val="0"/>
              <w:spacing w:before="0" w:after="283"/>
              <w:jc w:val="left"/>
              <w:rPr/>
            </w:pPr>
            <w:r>
              <w:rPr/>
              <w:t>A binding's accountable principal cannot own the capability's consequence</w:t>
            </w:r>
          </w:p>
        </w:tc>
      </w:tr>
      <w:tr>
        <w:trPr/>
        <w:tc>
          <w:tcPr>
            <w:tcW w:w="3125" w:type="dxa"/>
            <w:tcBorders/>
            <w:vAlign w:val="center"/>
          </w:tcPr>
          <w:p>
            <w:pPr>
              <w:pStyle w:val="TableContents"/>
              <w:bidi w:val="0"/>
              <w:spacing w:before="0" w:after="283"/>
              <w:jc w:val="left"/>
              <w:rPr/>
            </w:pPr>
            <w:r>
              <w:rPr/>
              <w:t>C-5 Co-occurrence</w:t>
            </w:r>
          </w:p>
        </w:tc>
        <w:tc>
          <w:tcPr>
            <w:tcW w:w="20118" w:type="dxa"/>
            <w:tcBorders/>
            <w:vAlign w:val="center"/>
          </w:tcPr>
          <w:p>
            <w:pPr>
              <w:pStyle w:val="TableContents"/>
              <w:bidi w:val="0"/>
              <w:spacing w:before="0" w:after="283"/>
              <w:jc w:val="left"/>
              <w:rPr/>
            </w:pPr>
            <w:r>
              <w:rPr/>
              <w:t>An envelope combines untrusted input, sensitive access and state change without the §8 gate mode</w:t>
            </w:r>
          </w:p>
        </w:tc>
      </w:tr>
      <w:tr>
        <w:trPr/>
        <w:tc>
          <w:tcPr>
            <w:tcW w:w="3125" w:type="dxa"/>
            <w:tcBorders/>
            <w:vAlign w:val="center"/>
          </w:tcPr>
          <w:p>
            <w:pPr>
              <w:pStyle w:val="TableContents"/>
              <w:bidi w:val="0"/>
              <w:spacing w:before="0" w:after="283"/>
              <w:jc w:val="left"/>
              <w:rPr/>
            </w:pPr>
            <w:r>
              <w:rPr/>
              <w:t>C-6 Reach reconciliation</w:t>
            </w:r>
          </w:p>
        </w:tc>
        <w:tc>
          <w:tcPr>
            <w:tcW w:w="20118" w:type="dxa"/>
            <w:tcBorders/>
            <w:vAlign w:val="center"/>
          </w:tcPr>
          <w:p>
            <w:pPr>
              <w:pStyle w:val="TableContents"/>
              <w:bidi w:val="0"/>
              <w:spacing w:before="0" w:after="283"/>
              <w:jc w:val="left"/>
              <w:rPr/>
            </w:pPr>
            <w:r>
              <w:rPr/>
              <w:t>A tool reachable at runtime for an actor in a stage is not admitted by any binding (the model under-describes reality)</w:t>
            </w:r>
          </w:p>
        </w:tc>
      </w:tr>
      <w:tr>
        <w:trPr/>
        <w:tc>
          <w:tcPr>
            <w:tcW w:w="3125" w:type="dxa"/>
            <w:tcBorders/>
            <w:vAlign w:val="center"/>
          </w:tcPr>
          <w:p>
            <w:pPr>
              <w:pStyle w:val="TableContents"/>
              <w:bidi w:val="0"/>
              <w:spacing w:before="0" w:after="283"/>
              <w:jc w:val="left"/>
              <w:rPr/>
            </w:pPr>
            <w:r>
              <w:rPr/>
              <w:t>C-7 Mode honesty</w:t>
            </w:r>
          </w:p>
        </w:tc>
        <w:tc>
          <w:tcPr>
            <w:tcW w:w="20118" w:type="dxa"/>
            <w:tcBorders/>
            <w:vAlign w:val="center"/>
          </w:tcPr>
          <w:p>
            <w:pPr>
              <w:pStyle w:val="TableContents"/>
              <w:bidi w:val="0"/>
              <w:spacing w:before="0" w:after="283"/>
              <w:jc w:val="left"/>
              <w:rPr/>
            </w:pPr>
            <w:r>
              <w:rPr/>
              <w:t>A binding is presented as enforced while its gate runs in shadow or off</w:t>
            </w:r>
          </w:p>
        </w:tc>
      </w:tr>
      <w:tr>
        <w:trPr/>
        <w:tc>
          <w:tcPr>
            <w:tcW w:w="3125" w:type="dxa"/>
            <w:tcBorders/>
            <w:vAlign w:val="center"/>
          </w:tcPr>
          <w:p>
            <w:pPr>
              <w:pStyle w:val="TableContents"/>
              <w:bidi w:val="0"/>
              <w:spacing w:before="0" w:after="283"/>
              <w:jc w:val="left"/>
              <w:rPr/>
            </w:pPr>
            <w:r>
              <w:rPr/>
              <w:t>C-8 Transition path uniqueness</w:t>
            </w:r>
          </w:p>
        </w:tc>
        <w:tc>
          <w:tcPr>
            <w:tcW w:w="20118" w:type="dxa"/>
            <w:tcBorders/>
            <w:vAlign w:val="center"/>
          </w:tcPr>
          <w:p>
            <w:pPr>
              <w:pStyle w:val="TableContents"/>
              <w:bidi w:val="0"/>
              <w:spacing w:before="0" w:after="283"/>
              <w:jc w:val="left"/>
              <w:rPr/>
            </w:pPr>
            <w:r>
              <w:rPr/>
              <w:t xml:space="preserve">Two runtime paths perform the same stage transition while enforcing different gate sets. Every path that advances work from stage </w:t>
            </w:r>
            <w:r>
              <w:rPr>
                <w:rStyle w:val="Emphasis"/>
              </w:rPr>
              <w:t>A</w:t>
            </w:r>
            <w:r>
              <w:rPr/>
              <w:t xml:space="preserve"> to stage </w:t>
            </w:r>
            <w:r>
              <w:rPr>
                <w:rStyle w:val="Emphasis"/>
              </w:rPr>
              <w:t>B</w:t>
            </w:r>
            <w:r>
              <w:rPr/>
              <w:t xml:space="preserve"> </w:t>
            </w:r>
            <w:r>
              <w:rPr>
                <w:rStyle w:val="SourceText"/>
              </w:rPr>
              <w:t>MUST</w:t>
            </w:r>
            <w:r>
              <w:rPr/>
              <w:t xml:space="preserve"> enforce the gate set the model declares for that transition.</w:t>
            </w:r>
          </w:p>
        </w:tc>
      </w:tr>
      <w:tr>
        <w:trPr/>
        <w:tc>
          <w:tcPr>
            <w:tcW w:w="3125" w:type="dxa"/>
            <w:tcBorders/>
            <w:vAlign w:val="center"/>
          </w:tcPr>
          <w:p>
            <w:pPr>
              <w:pStyle w:val="TableContents"/>
              <w:bidi w:val="0"/>
              <w:spacing w:before="0" w:after="283"/>
              <w:jc w:val="left"/>
              <w:rPr/>
            </w:pPr>
            <w:r>
              <w:rPr/>
              <w:t>C-9 Unmediated reach</w:t>
            </w:r>
          </w:p>
        </w:tc>
        <w:tc>
          <w:tcPr>
            <w:tcW w:w="20118" w:type="dxa"/>
            <w:tcBorders/>
            <w:vAlign w:val="center"/>
          </w:tcPr>
          <w:p>
            <w:pPr>
              <w:pStyle w:val="TableContents"/>
              <w:bidi w:val="0"/>
              <w:spacing w:before="0" w:after="283"/>
              <w:jc w:val="left"/>
              <w:rPr/>
            </w:pPr>
            <w:r>
              <w:rPr/>
              <w:t>A side-effecting tool can be reached by a code path that does not pass the reference monitor. Existing paths sit on a shrink-only list, and a new path fails the check.</w:t>
            </w:r>
          </w:p>
        </w:tc>
      </w:tr>
    </w:tbl>
    <w:p>
      <w:pPr>
        <w:pStyle w:val="BodyText"/>
        <w:bidi w:val="0"/>
        <w:jc w:val="left"/>
        <w:rPr/>
      </w:pPr>
      <w:r>
        <w:rPr/>
        <w:t>C-6 is the most important check. A model that the runtime does not match is documentation, not governance. C-8 is its counterpart for transitions: a gate that one code path enforces and another path skips is not a gate.</w:t>
      </w:r>
    </w:p>
    <w:p>
      <w:pPr>
        <w:pStyle w:val="Heading2"/>
        <w:bidi w:val="0"/>
        <w:jc w:val="left"/>
        <w:rPr/>
      </w:pPr>
      <w:r>
        <w:rPr/>
        <w:t>11. Evidence and efficacy measures</w:t>
      </w:r>
    </w:p>
    <w:p>
      <w:pPr>
        <w:pStyle w:val="BodyText"/>
        <w:bidi w:val="0"/>
        <w:jc w:val="left"/>
        <w:rPr/>
      </w:pPr>
      <w:r>
        <w:rPr/>
        <w:t xml:space="preserve">A </w:t>
      </w:r>
      <w:r>
        <w:rPr>
          <w:rStyle w:val="SourceText"/>
        </w:rPr>
        <w:t>GPP-Evidenced</w:t>
      </w:r>
      <w:r>
        <w:rPr/>
        <w:t xml:space="preserve"> implementation </w:t>
      </w:r>
      <w:r>
        <w:rPr>
          <w:rStyle w:val="SourceText"/>
        </w:rPr>
        <w:t>MUST</w:t>
      </w:r>
      <w:r>
        <w:rPr/>
        <w:t xml:space="preserve"> publish, for a stated period and environment, with numerator and denominator:</w:t>
      </w:r>
    </w:p>
    <w:tbl>
      <w:tblPr>
        <w:tblW w:w="18645" w:type="dxa"/>
        <w:jc w:val="left"/>
        <w:tblInd w:w="0" w:type="dxa"/>
        <w:tblLayout w:type="fixed"/>
        <w:tblCellMar>
          <w:top w:w="28" w:type="dxa"/>
          <w:left w:w="28" w:type="dxa"/>
          <w:bottom w:w="28" w:type="dxa"/>
          <w:right w:w="28" w:type="dxa"/>
        </w:tblCellMar>
      </w:tblPr>
      <w:tblGrid>
        <w:gridCol w:w="3983"/>
        <w:gridCol w:w="14662"/>
      </w:tblGrid>
      <w:tr>
        <w:trPr>
          <w:tblHeader w:val="true"/>
        </w:trPr>
        <w:tc>
          <w:tcPr>
            <w:tcW w:w="3983" w:type="dxa"/>
            <w:tcBorders/>
            <w:vAlign w:val="center"/>
          </w:tcPr>
          <w:p>
            <w:pPr>
              <w:pStyle w:val="TableHeading"/>
              <w:suppressLineNumbers/>
              <w:bidi w:val="0"/>
              <w:spacing w:before="0" w:after="283"/>
              <w:jc w:val="center"/>
              <w:rPr/>
            </w:pPr>
            <w:r>
              <w:rPr/>
              <w:t>Measure</w:t>
            </w:r>
          </w:p>
        </w:tc>
        <w:tc>
          <w:tcPr>
            <w:tcW w:w="14662" w:type="dxa"/>
            <w:tcBorders/>
            <w:vAlign w:val="center"/>
          </w:tcPr>
          <w:p>
            <w:pPr>
              <w:pStyle w:val="TableHeading"/>
              <w:suppressLineNumbers/>
              <w:bidi w:val="0"/>
              <w:spacing w:before="0" w:after="283"/>
              <w:jc w:val="center"/>
              <w:rPr/>
            </w:pPr>
            <w:r>
              <w:rPr/>
              <w:t>Question</w:t>
            </w:r>
          </w:p>
        </w:tc>
      </w:tr>
      <w:tr>
        <w:trPr/>
        <w:tc>
          <w:tcPr>
            <w:tcW w:w="3983" w:type="dxa"/>
            <w:tcBorders/>
            <w:vAlign w:val="center"/>
          </w:tcPr>
          <w:p>
            <w:pPr>
              <w:pStyle w:val="TableContents"/>
              <w:bidi w:val="0"/>
              <w:spacing w:before="0" w:after="283"/>
              <w:jc w:val="left"/>
              <w:rPr/>
            </w:pPr>
            <w:r>
              <w:rPr/>
              <w:t>M-1 Gate coverage</w:t>
            </w:r>
          </w:p>
        </w:tc>
        <w:tc>
          <w:tcPr>
            <w:tcW w:w="14662" w:type="dxa"/>
            <w:tcBorders/>
            <w:vAlign w:val="center"/>
          </w:tcPr>
          <w:p>
            <w:pPr>
              <w:pStyle w:val="TableContents"/>
              <w:bidi w:val="0"/>
              <w:spacing w:before="0" w:after="283"/>
              <w:jc w:val="left"/>
              <w:rPr/>
            </w:pPr>
            <w:r>
              <w:rPr/>
              <w:t>Of consequential tools reachable by each actor, what share is admitted only through a binding? (Reuses TAK §8.4.2, scoped per actor)</w:t>
            </w:r>
          </w:p>
        </w:tc>
      </w:tr>
      <w:tr>
        <w:trPr/>
        <w:tc>
          <w:tcPr>
            <w:tcW w:w="3983" w:type="dxa"/>
            <w:tcBorders/>
            <w:vAlign w:val="center"/>
          </w:tcPr>
          <w:p>
            <w:pPr>
              <w:pStyle w:val="TableContents"/>
              <w:bidi w:val="0"/>
              <w:spacing w:before="0" w:after="283"/>
              <w:jc w:val="left"/>
              <w:rPr/>
            </w:pPr>
            <w:r>
              <w:rPr/>
              <w:t>M-2 Human decisions per effect</w:t>
            </w:r>
          </w:p>
        </w:tc>
        <w:tc>
          <w:tcPr>
            <w:tcW w:w="14662" w:type="dxa"/>
            <w:tcBorders/>
            <w:vAlign w:val="center"/>
          </w:tcPr>
          <w:p>
            <w:pPr>
              <w:pStyle w:val="TableContents"/>
              <w:bidi w:val="0"/>
              <w:spacing w:before="0" w:after="283"/>
              <w:jc w:val="left"/>
              <w:rPr/>
            </w:pPr>
            <w:r>
              <w:rPr/>
              <w:t>How many human decisions were needed per consequential effect executed? Falling M-2 with stable M-5 is the approval-fatigue outcome GPP targets.</w:t>
            </w:r>
          </w:p>
        </w:tc>
      </w:tr>
      <w:tr>
        <w:trPr/>
        <w:tc>
          <w:tcPr>
            <w:tcW w:w="3983" w:type="dxa"/>
            <w:tcBorders/>
            <w:vAlign w:val="center"/>
          </w:tcPr>
          <w:p>
            <w:pPr>
              <w:pStyle w:val="TableContents"/>
              <w:bidi w:val="0"/>
              <w:spacing w:before="0" w:after="283"/>
              <w:jc w:val="left"/>
              <w:rPr/>
            </w:pPr>
            <w:r>
              <w:rPr/>
              <w:t>M-3 Resolution mix</w:t>
            </w:r>
          </w:p>
        </w:tc>
        <w:tc>
          <w:tcPr>
            <w:tcW w:w="14662" w:type="dxa"/>
            <w:tcBorders/>
            <w:vAlign w:val="center"/>
          </w:tcPr>
          <w:p>
            <w:pPr>
              <w:pStyle w:val="TableContents"/>
              <w:bidi w:val="0"/>
              <w:spacing w:before="0" w:after="283"/>
              <w:jc w:val="left"/>
              <w:rPr/>
            </w:pPr>
            <w:r>
              <w:rPr/>
              <w:t>Of gate resolutions, what share were doctrine-only, human, held or escalated?</w:t>
            </w:r>
          </w:p>
        </w:tc>
      </w:tr>
      <w:tr>
        <w:trPr/>
        <w:tc>
          <w:tcPr>
            <w:tcW w:w="3983" w:type="dxa"/>
            <w:tcBorders/>
            <w:vAlign w:val="center"/>
          </w:tcPr>
          <w:p>
            <w:pPr>
              <w:pStyle w:val="TableContents"/>
              <w:bidi w:val="0"/>
              <w:spacing w:before="0" w:after="283"/>
              <w:jc w:val="left"/>
              <w:rPr/>
            </w:pPr>
            <w:r>
              <w:rPr/>
              <w:t>M-4 Refusals before effect</w:t>
            </w:r>
          </w:p>
        </w:tc>
        <w:tc>
          <w:tcPr>
            <w:tcW w:w="14662" w:type="dxa"/>
            <w:tcBorders/>
            <w:vAlign w:val="center"/>
          </w:tcPr>
          <w:p>
            <w:pPr>
              <w:pStyle w:val="TableContents"/>
              <w:bidi w:val="0"/>
              <w:spacing w:before="0" w:after="283"/>
              <w:jc w:val="left"/>
              <w:rPr/>
            </w:pPr>
            <w:r>
              <w:rPr/>
              <w:t>How many consequential reaches were refused before any effect, and for which reason codes?</w:t>
            </w:r>
          </w:p>
        </w:tc>
      </w:tr>
      <w:tr>
        <w:trPr/>
        <w:tc>
          <w:tcPr>
            <w:tcW w:w="3983" w:type="dxa"/>
            <w:tcBorders/>
            <w:vAlign w:val="center"/>
          </w:tcPr>
          <w:p>
            <w:pPr>
              <w:pStyle w:val="TableContents"/>
              <w:bidi w:val="0"/>
              <w:spacing w:before="0" w:after="283"/>
              <w:jc w:val="left"/>
              <w:rPr/>
            </w:pPr>
            <w:r>
              <w:rPr/>
              <w:t>M-5 Unauthorized or unintended effects</w:t>
            </w:r>
          </w:p>
        </w:tc>
        <w:tc>
          <w:tcPr>
            <w:tcW w:w="14662" w:type="dxa"/>
            <w:tcBorders/>
            <w:vAlign w:val="center"/>
          </w:tcPr>
          <w:p>
            <w:pPr>
              <w:pStyle w:val="TableContents"/>
              <w:bidi w:val="0"/>
              <w:spacing w:before="0" w:after="283"/>
              <w:jc w:val="left"/>
              <w:rPr/>
            </w:pPr>
            <w:r>
              <w:rPr/>
              <w:t>How many consequential effects later proved unauthorized or unintended?</w:t>
            </w:r>
          </w:p>
        </w:tc>
      </w:tr>
      <w:tr>
        <w:trPr/>
        <w:tc>
          <w:tcPr>
            <w:tcW w:w="3983" w:type="dxa"/>
            <w:tcBorders/>
            <w:vAlign w:val="center"/>
          </w:tcPr>
          <w:p>
            <w:pPr>
              <w:pStyle w:val="TableContents"/>
              <w:bidi w:val="0"/>
              <w:spacing w:before="0" w:after="283"/>
              <w:jc w:val="left"/>
              <w:rPr/>
            </w:pPr>
            <w:r>
              <w:rPr/>
              <w:t>M-6 Shadow divergence</w:t>
            </w:r>
          </w:p>
        </w:tc>
        <w:tc>
          <w:tcPr>
            <w:tcW w:w="14662" w:type="dxa"/>
            <w:tcBorders/>
            <w:vAlign w:val="center"/>
          </w:tcPr>
          <w:p>
            <w:pPr>
              <w:pStyle w:val="TableContents"/>
              <w:bidi w:val="0"/>
              <w:spacing w:before="0" w:after="283"/>
              <w:jc w:val="left"/>
              <w:rPr/>
            </w:pPr>
            <w:r>
              <w:rPr/>
              <w:t>For bindings in shadow mode, how often would enforcement have refused a call that proceeded?</w:t>
            </w:r>
          </w:p>
        </w:tc>
      </w:tr>
      <w:tr>
        <w:trPr/>
        <w:tc>
          <w:tcPr>
            <w:tcW w:w="3983" w:type="dxa"/>
            <w:tcBorders/>
            <w:vAlign w:val="center"/>
          </w:tcPr>
          <w:p>
            <w:pPr>
              <w:pStyle w:val="TableContents"/>
              <w:bidi w:val="0"/>
              <w:spacing w:before="0" w:after="283"/>
              <w:jc w:val="left"/>
              <w:rPr/>
            </w:pPr>
            <w:r>
              <w:rPr/>
              <w:t>M-7 Decision outcome linkage</w:t>
            </w:r>
          </w:p>
        </w:tc>
        <w:tc>
          <w:tcPr>
            <w:tcW w:w="14662" w:type="dxa"/>
            <w:tcBorders/>
            <w:vAlign w:val="center"/>
          </w:tcPr>
          <w:p>
            <w:pPr>
              <w:pStyle w:val="TableContents"/>
              <w:bidi w:val="0"/>
              <w:spacing w:before="0" w:after="283"/>
              <w:jc w:val="left"/>
              <w:rPr/>
            </w:pPr>
            <w:r>
              <w:rPr/>
              <w:t>What share of admitted decisions have a recorded observed outcome?</w:t>
            </w:r>
          </w:p>
        </w:tc>
      </w:tr>
    </w:tbl>
    <w:p>
      <w:pPr>
        <w:pStyle w:val="BodyText"/>
        <w:bidi w:val="0"/>
        <w:jc w:val="left"/>
        <w:rPr/>
      </w:pPr>
      <w:r>
        <w:rPr/>
        <w:t xml:space="preserve">Measures </w:t>
      </w:r>
      <w:r>
        <w:rPr>
          <w:rStyle w:val="SourceText"/>
        </w:rPr>
        <w:t>MUST</w:t>
      </w:r>
      <w:r>
        <w:rPr/>
        <w:t xml:space="preserve"> be computed from execution and decision records, not from configuration. A published measure </w:t>
      </w:r>
      <w:r>
        <w:rPr>
          <w:rStyle w:val="SourceText"/>
        </w:rPr>
        <w:t>MUST</w:t>
      </w:r>
      <w:r>
        <w:rPr/>
        <w:t xml:space="preserve"> state what it omits.</w:t>
      </w:r>
    </w:p>
    <w:p>
      <w:pPr>
        <w:pStyle w:val="Heading2"/>
        <w:bidi w:val="0"/>
        <w:jc w:val="left"/>
        <w:rPr/>
      </w:pPr>
      <w:r>
        <w:rPr/>
        <w:t>12. Notation</w:t>
      </w:r>
    </w:p>
    <w:p>
      <w:pPr>
        <w:pStyle w:val="BodyText"/>
        <w:bidi w:val="0"/>
        <w:jc w:val="left"/>
        <w:rPr/>
      </w:pPr>
      <w:r>
        <w:rPr/>
        <w:t>GPP does not require a particular notation. Two informative forms follow.</w:t>
      </w:r>
    </w:p>
    <w:p>
      <w:pPr>
        <w:pStyle w:val="Heading3"/>
        <w:bidi w:val="0"/>
        <w:jc w:val="left"/>
        <w:rPr/>
      </w:pPr>
      <w:r>
        <w:rPr/>
        <w:t>12.1 Textual form</w:t>
      </w:r>
    </w:p>
    <w:p>
      <w:pPr>
        <w:pStyle w:val="PreformattedText"/>
        <w:bidi w:val="0"/>
        <w:jc w:val="left"/>
        <w:rPr/>
      </w:pPr>
      <w:r>
        <w:rPr>
          <w:rStyle w:val="SourceText"/>
        </w:rPr>
        <w:t>gatedPermission:</w:t>
      </w:r>
    </w:p>
    <w:p>
      <w:pPr>
        <w:pStyle w:val="PreformattedText"/>
        <w:bidi w:val="0"/>
        <w:jc w:val="left"/>
        <w:rPr/>
      </w:pPr>
      <w:r>
        <w:rPr>
          <w:rStyle w:val="SourceText"/>
        </w:rPr>
        <w:t xml:space="preserve">  </w:t>
      </w:r>
      <w:r>
        <w:rPr>
          <w:rStyle w:val="SourceText"/>
        </w:rPr>
        <w:t>id: gp.delivery-small.repair.write-source</w:t>
      </w:r>
    </w:p>
    <w:p>
      <w:pPr>
        <w:pStyle w:val="PreformattedText"/>
        <w:bidi w:val="0"/>
        <w:jc w:val="left"/>
        <w:rPr/>
      </w:pPr>
      <w:r>
        <w:rPr>
          <w:rStyle w:val="SourceText"/>
        </w:rPr>
        <w:t xml:space="preserve">  </w:t>
      </w:r>
      <w:r>
        <w:rPr>
          <w:rStyle w:val="SourceText"/>
        </w:rPr>
        <w:t>version: 1.0.0</w:t>
      </w:r>
    </w:p>
    <w:p>
      <w:pPr>
        <w:pStyle w:val="PreformattedText"/>
        <w:bidi w:val="0"/>
        <w:jc w:val="left"/>
        <w:rPr/>
      </w:pPr>
      <w:r>
        <w:rPr>
          <w:rStyle w:val="SourceText"/>
        </w:rPr>
        <w:t xml:space="preserve">  </w:t>
      </w:r>
      <w:r>
        <w:rPr>
          <w:rStyle w:val="SourceText"/>
        </w:rPr>
        <w:t>attach: { shape: delivery-small@1.0.0, stage: repair }</w:t>
      </w:r>
    </w:p>
    <w:p>
      <w:pPr>
        <w:pStyle w:val="PreformattedText"/>
        <w:bidi w:val="0"/>
        <w:jc w:val="left"/>
        <w:rPr/>
      </w:pPr>
      <w:r>
        <w:rPr>
          <w:rStyle w:val="SourceText"/>
        </w:rPr>
        <w:t xml:space="preserve">  </w:t>
      </w:r>
      <w:r>
        <w:rPr>
          <w:rStyle w:val="SourceText"/>
        </w:rPr>
        <w:t>scope: WWMD</w:t>
      </w:r>
    </w:p>
    <w:p>
      <w:pPr>
        <w:pStyle w:val="PreformattedText"/>
        <w:bidi w:val="0"/>
        <w:jc w:val="left"/>
        <w:rPr/>
      </w:pPr>
      <w:r>
        <w:rPr>
          <w:rStyle w:val="SourceText"/>
        </w:rPr>
        <w:t xml:space="preserve">  </w:t>
      </w:r>
      <w:r>
        <w:rPr>
          <w:rStyle w:val="SourceText"/>
        </w:rPr>
        <w:t>gate: { key: delivery-implementation, mode: doctrine-then-human }</w:t>
      </w:r>
    </w:p>
    <w:p>
      <w:pPr>
        <w:pStyle w:val="PreformattedText"/>
        <w:bidi w:val="0"/>
        <w:jc w:val="left"/>
        <w:rPr/>
      </w:pPr>
      <w:r>
        <w:rPr>
          <w:rStyle w:val="SourceText"/>
        </w:rPr>
        <w:t xml:space="preserve">  </w:t>
      </w:r>
      <w:r>
        <w:rPr>
          <w:rStyle w:val="SourceText"/>
        </w:rPr>
        <w:t>capabilities: [read, write-source]</w:t>
      </w:r>
    </w:p>
    <w:p>
      <w:pPr>
        <w:pStyle w:val="PreformattedText"/>
        <w:bidi w:val="0"/>
        <w:jc w:val="left"/>
        <w:rPr/>
      </w:pPr>
      <w:r>
        <w:rPr>
          <w:rStyle w:val="SourceText"/>
        </w:rPr>
        <w:t xml:space="preserve">  </w:t>
      </w:r>
      <w:r>
        <w:rPr>
          <w:rStyle w:val="SourceText"/>
        </w:rPr>
        <w:t>subject: { repository: platform, branch: "doc/*|fix/*|feat/*", worktree: governed }</w:t>
      </w:r>
    </w:p>
    <w:p>
      <w:pPr>
        <w:pStyle w:val="PreformattedText"/>
        <w:bidi w:val="0"/>
        <w:jc w:val="left"/>
        <w:rPr/>
      </w:pPr>
      <w:r>
        <w:rPr>
          <w:rStyle w:val="SourceText"/>
        </w:rPr>
        <w:t xml:space="preserve">  </w:t>
      </w:r>
      <w:r>
        <w:rPr>
          <w:rStyle w:val="SourceText"/>
        </w:rPr>
        <w:t>validity: { until: stage-exit, maxDuration: P7D }</w:t>
      </w:r>
    </w:p>
    <w:p>
      <w:pPr>
        <w:pStyle w:val="PreformattedText"/>
        <w:bidi w:val="0"/>
        <w:jc w:val="left"/>
        <w:rPr/>
      </w:pPr>
      <w:r>
        <w:rPr>
          <w:rStyle w:val="SourceText"/>
        </w:rPr>
        <w:t xml:space="preserve">  </w:t>
      </w:r>
      <w:r>
        <w:rPr>
          <w:rStyle w:val="SourceText"/>
        </w:rPr>
        <w:t>preconditions:</w:t>
      </w:r>
    </w:p>
    <w:p>
      <w:pPr>
        <w:pStyle w:val="PreformattedText"/>
        <w:bidi w:val="0"/>
        <w:jc w:val="left"/>
        <w:rPr/>
      </w:pPr>
      <w:r>
        <w:rPr>
          <w:rStyle w:val="SourceText"/>
        </w:rPr>
        <w:t xml:space="preserve">    </w:t>
      </w:r>
      <w:r>
        <w:rPr>
          <w:rStyle w:val="SourceText"/>
        </w:rPr>
        <w:t>evidence: [backlog-item-claimed, research-receipt]</w:t>
      </w:r>
    </w:p>
    <w:p>
      <w:pPr>
        <w:pStyle w:val="PreformattedText"/>
        <w:bidi w:val="0"/>
        <w:jc w:val="left"/>
        <w:rPr/>
      </w:pPr>
      <w:r>
        <w:rPr>
          <w:rStyle w:val="SourceText"/>
        </w:rPr>
        <w:t xml:space="preserve">    </w:t>
      </w:r>
      <w:r>
        <w:rPr>
          <w:rStyle w:val="SourceText"/>
        </w:rPr>
        <w:t>qualification: null</w:t>
      </w:r>
    </w:p>
    <w:p>
      <w:pPr>
        <w:pStyle w:val="PreformattedText"/>
        <w:bidi w:val="0"/>
        <w:jc w:val="left"/>
        <w:rPr/>
      </w:pPr>
      <w:r>
        <w:rPr>
          <w:rStyle w:val="SourceText"/>
        </w:rPr>
        <w:t xml:space="preserve">  </w:t>
      </w:r>
      <w:r>
        <w:rPr>
          <w:rStyle w:val="SourceText"/>
        </w:rPr>
        <w:t>escalation: { role: delivery-coordinator, whileWaiting: hold }</w:t>
      </w:r>
    </w:p>
    <w:p>
      <w:pPr>
        <w:pStyle w:val="PreformattedText"/>
        <w:bidi w:val="0"/>
        <w:jc w:val="left"/>
        <w:rPr/>
      </w:pPr>
      <w:r>
        <w:rPr>
          <w:rStyle w:val="SourceText"/>
        </w:rPr>
        <w:t xml:space="preserve">  </w:t>
      </w:r>
      <w:r>
        <w:rPr>
          <w:rStyle w:val="SourceText"/>
        </w:rPr>
        <w:t>stop: [grant-revoked, stage-regressed, pr-closed]</w:t>
      </w:r>
    </w:p>
    <w:p>
      <w:pPr>
        <w:pStyle w:val="PreformattedText"/>
        <w:bidi w:val="0"/>
        <w:spacing w:before="0" w:after="283"/>
        <w:jc w:val="left"/>
        <w:rPr/>
      </w:pPr>
      <w:r>
        <w:rPr>
          <w:rStyle w:val="SourceText"/>
        </w:rPr>
        <w:t xml:space="preserve">  </w:t>
      </w:r>
      <w:r>
        <w:rPr>
          <w:rStyle w:val="SourceText"/>
        </w:rPr>
        <w:t>enforcement: enforced</w:t>
      </w:r>
    </w:p>
    <w:p>
      <w:pPr>
        <w:pStyle w:val="Heading3"/>
        <w:bidi w:val="0"/>
        <w:jc w:val="left"/>
        <w:rPr/>
      </w:pPr>
      <w:r>
        <w:rPr/>
        <w:t>12.2 SysML v2 mapping</w:t>
      </w:r>
    </w:p>
    <w:tbl>
      <w:tblPr>
        <w:tblW w:w="10156" w:type="dxa"/>
        <w:jc w:val="left"/>
        <w:tblInd w:w="0" w:type="dxa"/>
        <w:tblLayout w:type="fixed"/>
        <w:tblCellMar>
          <w:top w:w="28" w:type="dxa"/>
          <w:left w:w="28" w:type="dxa"/>
          <w:bottom w:w="28" w:type="dxa"/>
          <w:right w:w="28" w:type="dxa"/>
        </w:tblCellMar>
      </w:tblPr>
      <w:tblGrid>
        <w:gridCol w:w="1820"/>
        <w:gridCol w:w="8336"/>
      </w:tblGrid>
      <w:tr>
        <w:trPr>
          <w:tblHeader w:val="true"/>
        </w:trPr>
        <w:tc>
          <w:tcPr>
            <w:tcW w:w="1820" w:type="dxa"/>
            <w:tcBorders/>
            <w:vAlign w:val="center"/>
          </w:tcPr>
          <w:p>
            <w:pPr>
              <w:pStyle w:val="TableHeading"/>
              <w:suppressLineNumbers/>
              <w:bidi w:val="0"/>
              <w:spacing w:before="0" w:after="283"/>
              <w:jc w:val="center"/>
              <w:rPr/>
            </w:pPr>
            <w:r>
              <w:rPr/>
              <w:t>GPP concept</w:t>
            </w:r>
          </w:p>
        </w:tc>
        <w:tc>
          <w:tcPr>
            <w:tcW w:w="8336" w:type="dxa"/>
            <w:tcBorders/>
            <w:vAlign w:val="center"/>
          </w:tcPr>
          <w:p>
            <w:pPr>
              <w:pStyle w:val="TableHeading"/>
              <w:suppressLineNumbers/>
              <w:bidi w:val="0"/>
              <w:spacing w:before="0" w:after="283"/>
              <w:jc w:val="center"/>
              <w:rPr/>
            </w:pPr>
            <w:r>
              <w:rPr/>
              <w:t>SysML v2 / KerML construct</w:t>
            </w:r>
          </w:p>
        </w:tc>
      </w:tr>
      <w:tr>
        <w:trPr/>
        <w:tc>
          <w:tcPr>
            <w:tcW w:w="1820" w:type="dxa"/>
            <w:tcBorders/>
            <w:vAlign w:val="center"/>
          </w:tcPr>
          <w:p>
            <w:pPr>
              <w:pStyle w:val="TableContents"/>
              <w:bidi w:val="0"/>
              <w:spacing w:before="0" w:after="283"/>
              <w:jc w:val="left"/>
              <w:rPr/>
            </w:pPr>
            <w:r>
              <w:rPr/>
              <w:t>Work shape</w:t>
            </w:r>
          </w:p>
        </w:tc>
        <w:tc>
          <w:tcPr>
            <w:tcW w:w="8336" w:type="dxa"/>
            <w:tcBorders/>
            <w:vAlign w:val="center"/>
          </w:tcPr>
          <w:p>
            <w:pPr>
              <w:pStyle w:val="TableContents"/>
              <w:bidi w:val="0"/>
              <w:spacing w:before="0" w:after="283"/>
              <w:jc w:val="left"/>
              <w:rPr/>
            </w:pPr>
            <w:r>
              <w:rPr>
                <w:rStyle w:val="SourceText"/>
              </w:rPr>
              <w:t>action def</w:t>
            </w:r>
            <w:r>
              <w:rPr/>
              <w:t xml:space="preserve"> with a </w:t>
            </w:r>
            <w:r>
              <w:rPr>
                <w:rStyle w:val="SourceText"/>
              </w:rPr>
              <w:t>state def</w:t>
            </w:r>
            <w:r>
              <w:rPr/>
              <w:t xml:space="preserve"> for stages</w:t>
            </w:r>
          </w:p>
        </w:tc>
      </w:tr>
      <w:tr>
        <w:trPr/>
        <w:tc>
          <w:tcPr>
            <w:tcW w:w="1820" w:type="dxa"/>
            <w:tcBorders/>
            <w:vAlign w:val="center"/>
          </w:tcPr>
          <w:p>
            <w:pPr>
              <w:pStyle w:val="TableContents"/>
              <w:bidi w:val="0"/>
              <w:spacing w:before="0" w:after="283"/>
              <w:jc w:val="left"/>
              <w:rPr/>
            </w:pPr>
            <w:r>
              <w:rPr/>
              <w:t>Stage</w:t>
            </w:r>
          </w:p>
        </w:tc>
        <w:tc>
          <w:tcPr>
            <w:tcW w:w="8336" w:type="dxa"/>
            <w:tcBorders/>
            <w:vAlign w:val="center"/>
          </w:tcPr>
          <w:p>
            <w:pPr>
              <w:pStyle w:val="TableContents"/>
              <w:bidi w:val="0"/>
              <w:spacing w:before="0" w:after="283"/>
              <w:jc w:val="left"/>
              <w:rPr/>
            </w:pPr>
            <w:r>
              <w:rPr>
                <w:rStyle w:val="SourceText"/>
              </w:rPr>
              <w:t>action</w:t>
            </w:r>
            <w:r>
              <w:rPr/>
              <w:t xml:space="preserve"> usage or </w:t>
            </w:r>
            <w:r>
              <w:rPr>
                <w:rStyle w:val="SourceText"/>
              </w:rPr>
              <w:t>state</w:t>
            </w:r>
            <w:r>
              <w:rPr/>
              <w:t xml:space="preserve"> within the shape</w:t>
            </w:r>
          </w:p>
        </w:tc>
      </w:tr>
      <w:tr>
        <w:trPr/>
        <w:tc>
          <w:tcPr>
            <w:tcW w:w="1820" w:type="dxa"/>
            <w:tcBorders/>
            <w:vAlign w:val="center"/>
          </w:tcPr>
          <w:p>
            <w:pPr>
              <w:pStyle w:val="TableContents"/>
              <w:bidi w:val="0"/>
              <w:spacing w:before="0" w:after="283"/>
              <w:jc w:val="left"/>
              <w:rPr/>
            </w:pPr>
            <w:r>
              <w:rPr/>
              <w:t>Gate</w:t>
            </w:r>
          </w:p>
        </w:tc>
        <w:tc>
          <w:tcPr>
            <w:tcW w:w="8336" w:type="dxa"/>
            <w:tcBorders/>
            <w:vAlign w:val="center"/>
          </w:tcPr>
          <w:p>
            <w:pPr>
              <w:pStyle w:val="TableContents"/>
              <w:bidi w:val="0"/>
              <w:spacing w:before="0" w:after="283"/>
              <w:jc w:val="left"/>
              <w:rPr/>
            </w:pPr>
            <w:r>
              <w:rPr>
                <w:rStyle w:val="SourceText"/>
              </w:rPr>
              <w:t>requirement def</w:t>
            </w:r>
            <w:r>
              <w:rPr/>
              <w:t xml:space="preserve"> with a </w:t>
            </w:r>
            <w:r>
              <w:rPr>
                <w:rStyle w:val="SourceText"/>
              </w:rPr>
              <w:t>constraint</w:t>
            </w:r>
            <w:r>
              <w:rPr/>
              <w:t xml:space="preserve"> evaluated by a DMN decision</w:t>
            </w:r>
          </w:p>
        </w:tc>
      </w:tr>
      <w:tr>
        <w:trPr/>
        <w:tc>
          <w:tcPr>
            <w:tcW w:w="1820" w:type="dxa"/>
            <w:tcBorders/>
            <w:vAlign w:val="center"/>
          </w:tcPr>
          <w:p>
            <w:pPr>
              <w:pStyle w:val="TableContents"/>
              <w:bidi w:val="0"/>
              <w:spacing w:before="0" w:after="283"/>
              <w:jc w:val="left"/>
              <w:rPr/>
            </w:pPr>
            <w:r>
              <w:rPr/>
              <w:t>Capability set</w:t>
            </w:r>
          </w:p>
        </w:tc>
        <w:tc>
          <w:tcPr>
            <w:tcW w:w="8336" w:type="dxa"/>
            <w:tcBorders/>
            <w:vAlign w:val="center"/>
          </w:tcPr>
          <w:p>
            <w:pPr>
              <w:pStyle w:val="TableContents"/>
              <w:bidi w:val="0"/>
              <w:spacing w:before="0" w:after="283"/>
              <w:jc w:val="left"/>
              <w:rPr/>
            </w:pPr>
            <w:r>
              <w:rPr>
                <w:rStyle w:val="SourceText"/>
              </w:rPr>
              <w:t>port def</w:t>
            </w:r>
            <w:r>
              <w:rPr/>
              <w:t xml:space="preserve"> / </w:t>
            </w:r>
            <w:r>
              <w:rPr>
                <w:rStyle w:val="SourceText"/>
              </w:rPr>
              <w:t>interface</w:t>
            </w:r>
            <w:r>
              <w:rPr/>
              <w:t xml:space="preserve"> exposing tool items</w:t>
            </w:r>
          </w:p>
        </w:tc>
      </w:tr>
      <w:tr>
        <w:trPr/>
        <w:tc>
          <w:tcPr>
            <w:tcW w:w="1820" w:type="dxa"/>
            <w:tcBorders/>
            <w:vAlign w:val="center"/>
          </w:tcPr>
          <w:p>
            <w:pPr>
              <w:pStyle w:val="TableContents"/>
              <w:bidi w:val="0"/>
              <w:spacing w:before="0" w:after="283"/>
              <w:jc w:val="left"/>
              <w:rPr/>
            </w:pPr>
            <w:r>
              <w:rPr/>
              <w:t>Gated Permission</w:t>
            </w:r>
          </w:p>
        </w:tc>
        <w:tc>
          <w:tcPr>
            <w:tcW w:w="8336" w:type="dxa"/>
            <w:tcBorders/>
            <w:vAlign w:val="center"/>
          </w:tcPr>
          <w:p>
            <w:pPr>
              <w:pStyle w:val="TableContents"/>
              <w:bidi w:val="0"/>
              <w:spacing w:before="0" w:after="283"/>
              <w:jc w:val="left"/>
              <w:rPr/>
            </w:pPr>
            <w:r>
              <w:rPr>
                <w:rStyle w:val="SourceText"/>
              </w:rPr>
              <w:t>allocation</w:t>
            </w:r>
            <w:r>
              <w:rPr/>
              <w:t xml:space="preserve"> of the capability interface to the stage, subject to the gate requirement</w:t>
            </w:r>
          </w:p>
        </w:tc>
      </w:tr>
      <w:tr>
        <w:trPr/>
        <w:tc>
          <w:tcPr>
            <w:tcW w:w="1820" w:type="dxa"/>
            <w:tcBorders/>
            <w:vAlign w:val="center"/>
          </w:tcPr>
          <w:p>
            <w:pPr>
              <w:pStyle w:val="TableContents"/>
              <w:bidi w:val="0"/>
              <w:spacing w:before="0" w:after="283"/>
              <w:jc w:val="left"/>
              <w:rPr/>
            </w:pPr>
            <w:r>
              <w:rPr/>
              <w:t>Owning scope</w:t>
            </w:r>
          </w:p>
        </w:tc>
        <w:tc>
          <w:tcPr>
            <w:tcW w:w="8336" w:type="dxa"/>
            <w:tcBorders/>
            <w:vAlign w:val="center"/>
          </w:tcPr>
          <w:p>
            <w:pPr>
              <w:pStyle w:val="TableContents"/>
              <w:bidi w:val="0"/>
              <w:spacing w:before="0" w:after="283"/>
              <w:jc w:val="left"/>
              <w:rPr/>
            </w:pPr>
            <w:r>
              <w:rPr>
                <w:rStyle w:val="SourceText"/>
              </w:rPr>
              <w:t>part</w:t>
            </w:r>
            <w:r>
              <w:rPr/>
              <w:t xml:space="preserve"> representing the authority, linked by </w:t>
            </w:r>
            <w:r>
              <w:rPr>
                <w:rStyle w:val="SourceText"/>
              </w:rPr>
              <w:t>satisfy</w:t>
            </w:r>
            <w:r>
              <w:rPr/>
              <w:t xml:space="preserve"> to the gate requirement</w:t>
            </w:r>
          </w:p>
        </w:tc>
      </w:tr>
      <w:tr>
        <w:trPr/>
        <w:tc>
          <w:tcPr>
            <w:tcW w:w="1820" w:type="dxa"/>
            <w:tcBorders/>
            <w:vAlign w:val="center"/>
          </w:tcPr>
          <w:p>
            <w:pPr>
              <w:pStyle w:val="TableContents"/>
              <w:bidi w:val="0"/>
              <w:spacing w:before="0" w:after="283"/>
              <w:jc w:val="left"/>
              <w:rPr/>
            </w:pPr>
            <w:r>
              <w:rPr/>
              <w:t>Evidence</w:t>
            </w:r>
          </w:p>
        </w:tc>
        <w:tc>
          <w:tcPr>
            <w:tcW w:w="8336" w:type="dxa"/>
            <w:tcBorders/>
            <w:vAlign w:val="center"/>
          </w:tcPr>
          <w:p>
            <w:pPr>
              <w:pStyle w:val="TableContents"/>
              <w:bidi w:val="0"/>
              <w:spacing w:before="0" w:after="283"/>
              <w:jc w:val="left"/>
              <w:rPr/>
            </w:pPr>
            <w:r>
              <w:rPr>
                <w:rStyle w:val="SourceText"/>
              </w:rPr>
              <w:t>item</w:t>
            </w:r>
            <w:r>
              <w:rPr/>
              <w:t xml:space="preserve"> references; provenance via PROV-O</w:t>
            </w:r>
          </w:p>
        </w:tc>
      </w:tr>
    </w:tbl>
    <w:p>
      <w:pPr>
        <w:pStyle w:val="BodyText"/>
        <w:bidi w:val="0"/>
        <w:jc w:val="left"/>
        <w:rPr/>
      </w:pPr>
      <w:r>
        <w:rPr/>
        <w:t xml:space="preserve">The mapping is a modeling profile, not a claim of full SysML execution semantics. It composes the existing </w:t>
      </w:r>
      <w:hyperlink r:id="rId14">
        <w:r>
          <w:rPr>
            <w:rStyle w:val="Hyperlink"/>
          </w:rPr>
          <w:t>MBSE composition design</w:t>
        </w:r>
      </w:hyperlink>
      <w:r>
        <w:rPr/>
        <w:t>.</w:t>
      </w:r>
    </w:p>
    <w:p>
      <w:pPr>
        <w:pStyle w:val="Heading3"/>
        <w:bidi w:val="0"/>
        <w:jc w:val="left"/>
        <w:rPr/>
      </w:pPr>
      <w:r>
        <w:rPr/>
        <w:t>12.3 The binding as a model</w:t>
      </w:r>
    </w:p>
    <w:p>
      <w:pPr>
        <w:pStyle w:val="BodyText"/>
        <w:bidi w:val="0"/>
        <w:jc w:val="left"/>
        <w:rPr/>
      </w:pPr>
      <w:r>
        <w:rPr/>
        <w:t>The same binding expressed as model elements. This is the view an MBSE tool, or a reviewer, navigates, and it is the structure the §10 checks walk.</w:t>
      </w:r>
    </w:p>
    <w:p>
      <w:pPr>
        <w:pStyle w:val="BodyText"/>
        <w:bidi w:val="0"/>
        <w:jc w:val="left"/>
        <w:rPr/>
      </w:pPr>
      <w:r>
        <w:rPr/>
        <w:drawing>
          <wp:inline distT="0" distB="0" distL="0" distR="0">
            <wp:extent cx="29870400" cy="61455300"/>
            <wp:effectExtent l="0" t="0" r="0" b="0"/>
            <wp:docPr id="2" name="Image2" descr="Diagra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Diagram 2"/>
                    <pic:cNvPicPr>
                      <a:picLocks noChangeAspect="1" noChangeArrowheads="1"/>
                    </pic:cNvPicPr>
                  </pic:nvPicPr>
                  <pic:blipFill>
                    <a:blip r:embed="rId15"/>
                    <a:stretch>
                      <a:fillRect/>
                    </a:stretch>
                  </pic:blipFill>
                  <pic:spPr bwMode="auto">
                    <a:xfrm>
                      <a:off x="0" y="0"/>
                      <a:ext cx="29870400" cy="61455300"/>
                    </a:xfrm>
                    <a:prstGeom prst="rect">
                      <a:avLst/>
                    </a:prstGeom>
                    <a:noFill/>
                  </pic:spPr>
                </pic:pic>
              </a:graphicData>
            </a:graphic>
          </wp:inline>
        </w:drawing>
      </w:r>
    </w:p>
    <w:p>
      <w:pPr>
        <w:pStyle w:val="BodyText"/>
        <w:bidi w:val="0"/>
        <w:jc w:val="left"/>
        <w:rPr/>
      </w:pPr>
      <w:r>
        <w:rPr/>
        <w:t>Each relationship maps to one completeness check:</w:t>
      </w:r>
    </w:p>
    <w:tbl>
      <w:tblPr>
        <w:tblW w:w="9934" w:type="dxa"/>
        <w:jc w:val="left"/>
        <w:tblInd w:w="0" w:type="dxa"/>
        <w:tblLayout w:type="fixed"/>
        <w:tblCellMar>
          <w:top w:w="28" w:type="dxa"/>
          <w:left w:w="28" w:type="dxa"/>
          <w:bottom w:w="28" w:type="dxa"/>
          <w:right w:w="28" w:type="dxa"/>
        </w:tblCellMar>
      </w:tblPr>
      <w:tblGrid>
        <w:gridCol w:w="7279"/>
        <w:gridCol w:w="2655"/>
      </w:tblGrid>
      <w:tr>
        <w:trPr>
          <w:tblHeader w:val="true"/>
        </w:trPr>
        <w:tc>
          <w:tcPr>
            <w:tcW w:w="7279" w:type="dxa"/>
            <w:tcBorders/>
            <w:vAlign w:val="center"/>
          </w:tcPr>
          <w:p>
            <w:pPr>
              <w:pStyle w:val="TableHeading"/>
              <w:suppressLineNumbers/>
              <w:bidi w:val="0"/>
              <w:spacing w:before="0" w:after="283"/>
              <w:jc w:val="center"/>
              <w:rPr/>
            </w:pPr>
            <w:r>
              <w:rPr/>
              <w:t>Relationship</w:t>
            </w:r>
          </w:p>
        </w:tc>
        <w:tc>
          <w:tcPr>
            <w:tcW w:w="2655" w:type="dxa"/>
            <w:tcBorders/>
            <w:vAlign w:val="center"/>
          </w:tcPr>
          <w:p>
            <w:pPr>
              <w:pStyle w:val="TableHeading"/>
              <w:suppressLineNumbers/>
              <w:bidi w:val="0"/>
              <w:spacing w:before="0" w:after="283"/>
              <w:jc w:val="center"/>
              <w:rPr/>
            </w:pPr>
            <w:r>
              <w:rPr/>
              <w:t>Check</w:t>
            </w:r>
          </w:p>
        </w:tc>
      </w:tr>
      <w:tr>
        <w:trPr/>
        <w:tc>
          <w:tcPr>
            <w:tcW w:w="7279" w:type="dxa"/>
            <w:tcBorders/>
            <w:vAlign w:val="center"/>
          </w:tcPr>
          <w:p>
            <w:pPr>
              <w:pStyle w:val="TableContents"/>
              <w:bidi w:val="0"/>
              <w:spacing w:before="0" w:after="283"/>
              <w:jc w:val="left"/>
              <w:rPr/>
            </w:pPr>
            <w:r>
              <w:rPr/>
              <w:t>A stage that reaches a consequential capability has an attached binding</w:t>
            </w:r>
          </w:p>
        </w:tc>
        <w:tc>
          <w:tcPr>
            <w:tcW w:w="2655" w:type="dxa"/>
            <w:tcBorders/>
            <w:vAlign w:val="center"/>
          </w:tcPr>
          <w:p>
            <w:pPr>
              <w:pStyle w:val="TableContents"/>
              <w:bidi w:val="0"/>
              <w:spacing w:before="0" w:after="283"/>
              <w:jc w:val="left"/>
              <w:rPr/>
            </w:pPr>
            <w:r>
              <w:rPr/>
              <w:t>C-1 stage coverage</w:t>
            </w:r>
          </w:p>
        </w:tc>
      </w:tr>
      <w:tr>
        <w:trPr/>
        <w:tc>
          <w:tcPr>
            <w:tcW w:w="7279" w:type="dxa"/>
            <w:tcBorders/>
            <w:vAlign w:val="center"/>
          </w:tcPr>
          <w:p>
            <w:pPr>
              <w:pStyle w:val="TableContents"/>
              <w:bidi w:val="0"/>
              <w:spacing w:before="0" w:after="283"/>
              <w:jc w:val="left"/>
              <w:rPr/>
            </w:pPr>
            <w:r>
              <w:rPr/>
              <w:t>A capability set resolves to real tools</w:t>
            </w:r>
          </w:p>
        </w:tc>
        <w:tc>
          <w:tcPr>
            <w:tcW w:w="2655" w:type="dxa"/>
            <w:tcBorders/>
            <w:vAlign w:val="center"/>
          </w:tcPr>
          <w:p>
            <w:pPr>
              <w:pStyle w:val="TableContents"/>
              <w:bidi w:val="0"/>
              <w:spacing w:before="0" w:after="283"/>
              <w:jc w:val="left"/>
              <w:rPr/>
            </w:pPr>
            <w:r>
              <w:rPr/>
              <w:t>C-2 vocabulary resolution</w:t>
            </w:r>
          </w:p>
        </w:tc>
      </w:tr>
      <w:tr>
        <w:trPr/>
        <w:tc>
          <w:tcPr>
            <w:tcW w:w="7279" w:type="dxa"/>
            <w:tcBorders/>
            <w:vAlign w:val="center"/>
          </w:tcPr>
          <w:p>
            <w:pPr>
              <w:pStyle w:val="TableContents"/>
              <w:bidi w:val="0"/>
              <w:spacing w:before="0" w:after="283"/>
              <w:jc w:val="left"/>
              <w:rPr/>
            </w:pPr>
            <w:r>
              <w:rPr/>
              <w:t>A gate has exactly one owning scope</w:t>
            </w:r>
          </w:p>
        </w:tc>
        <w:tc>
          <w:tcPr>
            <w:tcW w:w="2655" w:type="dxa"/>
            <w:tcBorders/>
            <w:vAlign w:val="center"/>
          </w:tcPr>
          <w:p>
            <w:pPr>
              <w:pStyle w:val="TableContents"/>
              <w:bidi w:val="0"/>
              <w:spacing w:before="0" w:after="283"/>
              <w:jc w:val="left"/>
              <w:rPr/>
            </w:pPr>
            <w:r>
              <w:rPr/>
              <w:t>C-3 scope ownership</w:t>
            </w:r>
          </w:p>
        </w:tc>
      </w:tr>
      <w:tr>
        <w:trPr/>
        <w:tc>
          <w:tcPr>
            <w:tcW w:w="7279" w:type="dxa"/>
            <w:tcBorders/>
            <w:vAlign w:val="center"/>
          </w:tcPr>
          <w:p>
            <w:pPr>
              <w:pStyle w:val="TableContents"/>
              <w:bidi w:val="0"/>
              <w:spacing w:before="0" w:after="283"/>
              <w:jc w:val="left"/>
              <w:rPr/>
            </w:pPr>
            <w:r>
              <w:rPr/>
              <w:t>A stage's accountable principal can own the consequence</w:t>
            </w:r>
          </w:p>
        </w:tc>
        <w:tc>
          <w:tcPr>
            <w:tcW w:w="2655" w:type="dxa"/>
            <w:tcBorders/>
            <w:vAlign w:val="center"/>
          </w:tcPr>
          <w:p>
            <w:pPr>
              <w:pStyle w:val="TableContents"/>
              <w:bidi w:val="0"/>
              <w:spacing w:before="0" w:after="283"/>
              <w:jc w:val="left"/>
              <w:rPr/>
            </w:pPr>
            <w:r>
              <w:rPr/>
              <w:t>C-4 accountable authority</w:t>
            </w:r>
          </w:p>
        </w:tc>
      </w:tr>
      <w:tr>
        <w:trPr/>
        <w:tc>
          <w:tcPr>
            <w:tcW w:w="7279" w:type="dxa"/>
            <w:tcBorders/>
            <w:vAlign w:val="center"/>
          </w:tcPr>
          <w:p>
            <w:pPr>
              <w:pStyle w:val="TableContents"/>
              <w:bidi w:val="0"/>
              <w:spacing w:before="0" w:after="283"/>
              <w:jc w:val="left"/>
              <w:rPr/>
            </w:pPr>
            <w:r>
              <w:rPr/>
              <w:t>A receipt can be followed back to the binding and decision that admitted it</w:t>
            </w:r>
          </w:p>
        </w:tc>
        <w:tc>
          <w:tcPr>
            <w:tcW w:w="2655" w:type="dxa"/>
            <w:tcBorders/>
            <w:vAlign w:val="center"/>
          </w:tcPr>
          <w:p>
            <w:pPr>
              <w:pStyle w:val="TableContents"/>
              <w:bidi w:val="0"/>
              <w:spacing w:before="0" w:after="283"/>
              <w:jc w:val="left"/>
              <w:rPr/>
            </w:pPr>
            <w:r>
              <w:rPr/>
              <w:t>GPP-012</w:t>
            </w:r>
          </w:p>
        </w:tc>
      </w:tr>
      <w:tr>
        <w:trPr/>
        <w:tc>
          <w:tcPr>
            <w:tcW w:w="7279" w:type="dxa"/>
            <w:tcBorders/>
            <w:vAlign w:val="center"/>
          </w:tcPr>
          <w:p>
            <w:pPr>
              <w:pStyle w:val="TableContents"/>
              <w:bidi w:val="0"/>
              <w:spacing w:before="0" w:after="283"/>
              <w:jc w:val="left"/>
              <w:rPr/>
            </w:pPr>
            <w:r>
              <w:rPr/>
              <w:t>Every tool actually reached is admitted by some binding</w:t>
            </w:r>
          </w:p>
        </w:tc>
        <w:tc>
          <w:tcPr>
            <w:tcW w:w="2655" w:type="dxa"/>
            <w:tcBorders/>
            <w:vAlign w:val="center"/>
          </w:tcPr>
          <w:p>
            <w:pPr>
              <w:pStyle w:val="TableContents"/>
              <w:bidi w:val="0"/>
              <w:spacing w:before="0" w:after="283"/>
              <w:jc w:val="left"/>
              <w:rPr/>
            </w:pPr>
            <w:r>
              <w:rPr/>
              <w:t>C-6 reach reconciliation</w:t>
            </w:r>
          </w:p>
        </w:tc>
      </w:tr>
    </w:tbl>
    <w:p>
      <w:pPr>
        <w:pStyle w:val="Heading3"/>
        <w:bidi w:val="0"/>
        <w:jc w:val="left"/>
        <w:rPr/>
      </w:pPr>
      <w:r>
        <w:rPr/>
        <w:t>12.4 From model to running system</w:t>
      </w:r>
    </w:p>
    <w:p>
      <w:pPr>
        <w:pStyle w:val="BodyText"/>
        <w:bidi w:val="0"/>
        <w:jc w:val="left"/>
        <w:rPr/>
      </w:pPr>
      <w:r>
        <w:rPr/>
        <w:t xml:space="preserve">A diagram that explains governance is not MBSE. In MBSE the model is precise enough to be </w:t>
      </w:r>
      <w:r>
        <w:rPr>
          <w:rStyle w:val="Strong"/>
        </w:rPr>
        <w:t>interpreted and implemented</w:t>
      </w:r>
      <w:r>
        <w:rPr/>
        <w:t xml:space="preserve"> as the running workroom shape, and it stays </w:t>
      </w:r>
      <w:r>
        <w:rPr>
          <w:rStyle w:val="Strong"/>
        </w:rPr>
        <w:t>visible</w:t>
      </w:r>
      <w:r>
        <w:rPr/>
        <w:t xml:space="preserve"> both to the people designing the work and to the people supervising it while it runs. This section makes that requirement normative for </w:t>
      </w:r>
      <w:r>
        <w:rPr>
          <w:rStyle w:val="SourceText"/>
        </w:rPr>
        <w:t>GPP-Modeled</w:t>
      </w:r>
      <w:r>
        <w:rPr/>
        <w:t xml:space="preserve"> and </w:t>
      </w:r>
      <w:r>
        <w:rPr>
          <w:rStyle w:val="SourceText"/>
        </w:rPr>
        <w:t>GPP-Enforced</w:t>
      </w:r>
      <w:r>
        <w:rPr/>
        <w:t>.</w:t>
      </w:r>
    </w:p>
    <w:p>
      <w:pPr>
        <w:pStyle w:val="Heading4"/>
        <w:bidi w:val="0"/>
        <w:jc w:val="left"/>
        <w:rPr/>
      </w:pPr>
      <w:r>
        <w:rPr/>
        <w:t>12.4.1 The model is executable or verified</w:t>
      </w:r>
    </w:p>
    <w:p>
      <w:pPr>
        <w:pStyle w:val="BodyText"/>
        <w:bidi w:val="0"/>
        <w:jc w:val="left"/>
        <w:rPr/>
      </w:pPr>
      <w:r>
        <w:rPr/>
        <w:t>A conforming implementation:</w:t>
      </w:r>
    </w:p>
    <w:p>
      <w:pPr>
        <w:pStyle w:val="BodyText"/>
        <w:numPr>
          <w:ilvl w:val="0"/>
          <w:numId w:val="16"/>
        </w:numPr>
        <w:tabs>
          <w:tab w:val="clear" w:pos="1134"/>
          <w:tab w:val="left" w:pos="709" w:leader="none"/>
        </w:tabs>
        <w:bidi w:val="0"/>
        <w:spacing w:before="0" w:after="0"/>
        <w:ind w:hanging="283" w:left="709"/>
        <w:jc w:val="left"/>
        <w:rPr/>
      </w:pPr>
      <w:r>
        <w:rPr>
          <w:rStyle w:val="SourceText"/>
        </w:rPr>
        <w:t>MUST</w:t>
      </w:r>
      <w:r>
        <w:rPr/>
        <w:t xml:space="preserve"> hold its Gated Permission model in a machine-readable form. It uses typed elements for every §7 binding element and every §12.3 class, and identifiers that stay stable across versions. </w:t>
      </w:r>
    </w:p>
    <w:p>
      <w:pPr>
        <w:pStyle w:val="BodyText"/>
        <w:numPr>
          <w:ilvl w:val="0"/>
          <w:numId w:val="16"/>
        </w:numPr>
        <w:tabs>
          <w:tab w:val="clear" w:pos="1134"/>
          <w:tab w:val="left" w:pos="709" w:leader="none"/>
        </w:tabs>
        <w:bidi w:val="0"/>
        <w:spacing w:before="0" w:after="0"/>
        <w:ind w:hanging="283" w:left="709"/>
        <w:jc w:val="left"/>
        <w:rPr/>
      </w:pPr>
      <w:r>
        <w:rPr>
          <w:rStyle w:val="SourceText"/>
        </w:rPr>
        <w:t>MUST</w:t>
      </w:r>
      <w:r>
        <w:rPr/>
        <w:t xml:space="preserve"> either execute that model directly, so the declared shape </w:t>
      </w:r>
      <w:r>
        <w:rPr>
          <w:rStyle w:val="Emphasis"/>
        </w:rPr>
        <w:t>is</w:t>
      </w:r>
      <w:r>
        <w:rPr/>
        <w:t xml:space="preserve"> what the runtime runs, or verify the running configuration against it whenever either one changes. A model that exists only as prose or a picture does not satisfy </w:t>
      </w:r>
      <w:r>
        <w:rPr>
          <w:rStyle w:val="SourceText"/>
        </w:rPr>
        <w:t>GPP-Modeled</w:t>
      </w:r>
      <w:r>
        <w:rPr/>
        <w:t xml:space="preserve">. </w:t>
      </w:r>
    </w:p>
    <w:p>
      <w:pPr>
        <w:pStyle w:val="BodyText"/>
        <w:numPr>
          <w:ilvl w:val="0"/>
          <w:numId w:val="16"/>
        </w:numPr>
        <w:tabs>
          <w:tab w:val="clear" w:pos="1134"/>
          <w:tab w:val="left" w:pos="709" w:leader="none"/>
        </w:tabs>
        <w:bidi w:val="0"/>
        <w:spacing w:before="0" w:after="0"/>
        <w:ind w:hanging="283" w:left="709"/>
        <w:jc w:val="left"/>
        <w:rPr/>
      </w:pPr>
      <w:r>
        <w:rPr>
          <w:rStyle w:val="SourceText"/>
        </w:rPr>
        <w:t>MUST</w:t>
      </w:r>
      <w:r>
        <w:rPr/>
        <w:t xml:space="preserve"> declare, for each stage transition, the complete gate set that guards it: owning scope, resolver, whether it blocks or advises, and its mode. Every runtime path that performs that transition </w:t>
      </w:r>
      <w:r>
        <w:rPr>
          <w:rStyle w:val="SourceText"/>
        </w:rPr>
        <w:t>MUST</w:t>
      </w:r>
      <w:r>
        <w:rPr/>
        <w:t xml:space="preserve"> enforce the same set (C-8). </w:t>
      </w:r>
    </w:p>
    <w:p>
      <w:pPr>
        <w:pStyle w:val="BodyText"/>
        <w:numPr>
          <w:ilvl w:val="0"/>
          <w:numId w:val="16"/>
        </w:numPr>
        <w:tabs>
          <w:tab w:val="clear" w:pos="1134"/>
          <w:tab w:val="left" w:pos="709" w:leader="none"/>
        </w:tabs>
        <w:bidi w:val="0"/>
        <w:spacing w:before="0" w:after="0"/>
        <w:ind w:hanging="283" w:left="709"/>
        <w:jc w:val="left"/>
        <w:rPr/>
      </w:pPr>
      <w:r>
        <w:rPr>
          <w:rStyle w:val="SourceText"/>
        </w:rPr>
        <w:t>MUST</w:t>
      </w:r>
      <w:r>
        <w:rPr/>
        <w:t xml:space="preserve"> map each model element to exactly one runtime artifact and publish that mapping, so an assessor can go from a clause to the code or configuration that realizes it. </w:t>
      </w:r>
    </w:p>
    <w:p>
      <w:pPr>
        <w:pStyle w:val="BodyText"/>
        <w:numPr>
          <w:ilvl w:val="0"/>
          <w:numId w:val="16"/>
        </w:numPr>
        <w:tabs>
          <w:tab w:val="clear" w:pos="1134"/>
          <w:tab w:val="left" w:pos="709" w:leader="none"/>
        </w:tabs>
        <w:bidi w:val="0"/>
        <w:ind w:hanging="283" w:left="709"/>
        <w:jc w:val="left"/>
        <w:rPr/>
      </w:pPr>
      <w:r>
        <w:rPr>
          <w:rStyle w:val="SourceText"/>
        </w:rPr>
        <w:t>SHOULD</w:t>
      </w:r>
      <w:r>
        <w:rPr/>
        <w:t xml:space="preserve"> derive participants, capability sets and gate bindings from the model, rather than configuring them separately and reconciling afterwards. </w:t>
      </w:r>
    </w:p>
    <w:p>
      <w:pPr>
        <w:pStyle w:val="Heading4"/>
        <w:bidi w:val="0"/>
        <w:jc w:val="left"/>
        <w:rPr/>
      </w:pPr>
      <w:r>
        <w:rPr/>
        <w:t>12.4.2 The model is visible at design time and at runtime</w:t>
      </w:r>
    </w:p>
    <w:tbl>
      <w:tblPr>
        <w:tblW w:w="19832" w:type="dxa"/>
        <w:jc w:val="left"/>
        <w:tblInd w:w="0" w:type="dxa"/>
        <w:tblLayout w:type="fixed"/>
        <w:tblCellMar>
          <w:top w:w="28" w:type="dxa"/>
          <w:left w:w="28" w:type="dxa"/>
          <w:bottom w:w="28" w:type="dxa"/>
          <w:right w:w="28" w:type="dxa"/>
        </w:tblCellMar>
      </w:tblPr>
      <w:tblGrid>
        <w:gridCol w:w="2012"/>
        <w:gridCol w:w="17820"/>
      </w:tblGrid>
      <w:tr>
        <w:trPr>
          <w:tblHeader w:val="true"/>
        </w:trPr>
        <w:tc>
          <w:tcPr>
            <w:tcW w:w="2012" w:type="dxa"/>
            <w:tcBorders/>
            <w:vAlign w:val="center"/>
          </w:tcPr>
          <w:p>
            <w:pPr>
              <w:pStyle w:val="TableHeading"/>
              <w:suppressLineNumbers/>
              <w:bidi w:val="0"/>
              <w:spacing w:before="0" w:after="283"/>
              <w:jc w:val="center"/>
              <w:rPr/>
            </w:pPr>
            <w:r>
              <w:rPr/>
              <w:t>Requirement</w:t>
            </w:r>
          </w:p>
        </w:tc>
        <w:tc>
          <w:tcPr>
            <w:tcW w:w="17820" w:type="dxa"/>
            <w:tcBorders/>
            <w:vAlign w:val="center"/>
          </w:tcPr>
          <w:p>
            <w:pPr>
              <w:pStyle w:val="TableHeading"/>
              <w:suppressLineNumbers/>
              <w:bidi w:val="0"/>
              <w:spacing w:before="0" w:after="283"/>
              <w:jc w:val="center"/>
              <w:rPr/>
            </w:pPr>
            <w:r>
              <w:rPr/>
              <w:t>What must be visible</w:t>
            </w:r>
          </w:p>
        </w:tc>
      </w:tr>
      <w:tr>
        <w:trPr/>
        <w:tc>
          <w:tcPr>
            <w:tcW w:w="2012" w:type="dxa"/>
            <w:tcBorders/>
            <w:vAlign w:val="center"/>
          </w:tcPr>
          <w:p>
            <w:pPr>
              <w:pStyle w:val="TableContents"/>
              <w:bidi w:val="0"/>
              <w:spacing w:before="0" w:after="283"/>
              <w:jc w:val="left"/>
              <w:rPr/>
            </w:pPr>
            <w:r>
              <w:rPr/>
              <w:t>V-1 Design view</w:t>
            </w:r>
          </w:p>
        </w:tc>
        <w:tc>
          <w:tcPr>
            <w:tcW w:w="17820" w:type="dxa"/>
            <w:tcBorders/>
            <w:vAlign w:val="center"/>
          </w:tcPr>
          <w:p>
            <w:pPr>
              <w:pStyle w:val="TableContents"/>
              <w:bidi w:val="0"/>
              <w:spacing w:before="0" w:after="283"/>
              <w:jc w:val="left"/>
              <w:rPr/>
            </w:pPr>
            <w:r>
              <w:rPr/>
              <w:t>The declared model, rendered without running any work: stages, transitions, each gate with its owning scope and mode, each stage's capability set, and accountable principals</w:t>
            </w:r>
          </w:p>
        </w:tc>
      </w:tr>
      <w:tr>
        <w:trPr/>
        <w:tc>
          <w:tcPr>
            <w:tcW w:w="2012" w:type="dxa"/>
            <w:tcBorders/>
            <w:vAlign w:val="center"/>
          </w:tcPr>
          <w:p>
            <w:pPr>
              <w:pStyle w:val="TableContents"/>
              <w:bidi w:val="0"/>
              <w:spacing w:before="0" w:after="283"/>
              <w:jc w:val="left"/>
              <w:rPr/>
            </w:pPr>
            <w:r>
              <w:rPr/>
              <w:t>V-2 Runtime view</w:t>
            </w:r>
          </w:p>
        </w:tc>
        <w:tc>
          <w:tcPr>
            <w:tcW w:w="17820" w:type="dxa"/>
            <w:tcBorders/>
            <w:vAlign w:val="center"/>
          </w:tcPr>
          <w:p>
            <w:pPr>
              <w:pStyle w:val="TableContents"/>
              <w:bidi w:val="0"/>
              <w:spacing w:before="0" w:after="283"/>
              <w:jc w:val="left"/>
              <w:rPr/>
            </w:pPr>
            <w:r>
              <w:rPr/>
              <w:t>For each live Workroom: the current stage, the bindings in force, a reference to the gate decision that satisfied each one, the effective envelope, and the enforcement mode of every gate</w:t>
            </w:r>
          </w:p>
        </w:tc>
      </w:tr>
      <w:tr>
        <w:trPr/>
        <w:tc>
          <w:tcPr>
            <w:tcW w:w="2012" w:type="dxa"/>
            <w:tcBorders/>
            <w:vAlign w:val="center"/>
          </w:tcPr>
          <w:p>
            <w:pPr>
              <w:pStyle w:val="TableContents"/>
              <w:bidi w:val="0"/>
              <w:spacing w:before="0" w:after="283"/>
              <w:jc w:val="left"/>
              <w:rPr/>
            </w:pPr>
            <w:r>
              <w:rPr/>
              <w:t>V-3 Shared identity</w:t>
            </w:r>
          </w:p>
        </w:tc>
        <w:tc>
          <w:tcPr>
            <w:tcW w:w="17820" w:type="dxa"/>
            <w:tcBorders/>
            <w:vAlign w:val="center"/>
          </w:tcPr>
          <w:p>
            <w:pPr>
              <w:pStyle w:val="TableContents"/>
              <w:bidi w:val="0"/>
              <w:spacing w:before="0" w:after="283"/>
              <w:jc w:val="left"/>
              <w:rPr/>
            </w:pPr>
            <w:r>
              <w:rPr/>
              <w:t>Every runtime node carries the identifier and version of the design element it instantiates, so a reviewer can move from a running room to its model element and back</w:t>
            </w:r>
          </w:p>
        </w:tc>
      </w:tr>
      <w:tr>
        <w:trPr/>
        <w:tc>
          <w:tcPr>
            <w:tcW w:w="2012" w:type="dxa"/>
            <w:tcBorders/>
            <w:vAlign w:val="center"/>
          </w:tcPr>
          <w:p>
            <w:pPr>
              <w:pStyle w:val="TableContents"/>
              <w:bidi w:val="0"/>
              <w:spacing w:before="0" w:after="283"/>
              <w:jc w:val="left"/>
              <w:rPr/>
            </w:pPr>
            <w:r>
              <w:rPr/>
              <w:t>V-4 Divergence</w:t>
            </w:r>
          </w:p>
        </w:tc>
        <w:tc>
          <w:tcPr>
            <w:tcW w:w="17820" w:type="dxa"/>
            <w:tcBorders/>
            <w:vAlign w:val="center"/>
          </w:tcPr>
          <w:p>
            <w:pPr>
              <w:pStyle w:val="TableContents"/>
              <w:bidi w:val="0"/>
              <w:spacing w:before="0" w:after="283"/>
              <w:jc w:val="left"/>
              <w:rPr/>
            </w:pPr>
            <w:r>
              <w:rPr/>
              <w:t>C-6 and C-8 findings appear in both views, as gaps attached to the elements they concern</w:t>
            </w:r>
          </w:p>
        </w:tc>
      </w:tr>
    </w:tbl>
    <w:p>
      <w:pPr>
        <w:pStyle w:val="BodyText"/>
        <w:bidi w:val="0"/>
        <w:jc w:val="left"/>
        <w:rPr/>
      </w:pPr>
      <w:r>
        <w:rPr/>
        <w:t xml:space="preserve">A view </w:t>
      </w:r>
      <w:r>
        <w:rPr>
          <w:rStyle w:val="SourceText"/>
        </w:rPr>
        <w:t>MUST</w:t>
      </w:r>
      <w:r>
        <w:rPr/>
        <w:t xml:space="preserve"> be a projection of model and execution records. It </w:t>
      </w:r>
      <w:r>
        <w:rPr>
          <w:rStyle w:val="SourceText"/>
        </w:rPr>
        <w:t>MUST NOT</w:t>
      </w:r>
      <w:r>
        <w:rPr/>
        <w:t xml:space="preserve"> infer a verdict the records do not contain. A picture that disagrees with the ledger is worse than no picture, because people act on the picture.</w:t>
      </w:r>
    </w:p>
    <w:p>
      <w:pPr>
        <w:pStyle w:val="Heading4"/>
        <w:bidi w:val="0"/>
        <w:jc w:val="left"/>
        <w:rPr/>
      </w:pPr>
      <w:r>
        <w:rPr/>
        <w:t>12.4.3 DPF status</w:t>
      </w:r>
    </w:p>
    <w:tbl>
      <w:tblPr>
        <w:tblW w:w="47040" w:type="dxa"/>
        <w:jc w:val="left"/>
        <w:tblInd w:w="0" w:type="dxa"/>
        <w:tblLayout w:type="fixed"/>
        <w:tblCellMar>
          <w:top w:w="28" w:type="dxa"/>
          <w:left w:w="28" w:type="dxa"/>
          <w:bottom w:w="28" w:type="dxa"/>
          <w:right w:w="28" w:type="dxa"/>
        </w:tblCellMar>
      </w:tblPr>
      <w:tblGrid>
        <w:gridCol w:w="1803"/>
        <w:gridCol w:w="28998"/>
        <w:gridCol w:w="16239"/>
      </w:tblGrid>
      <w:tr>
        <w:trPr>
          <w:tblHeader w:val="true"/>
        </w:trPr>
        <w:tc>
          <w:tcPr>
            <w:tcW w:w="1803" w:type="dxa"/>
            <w:tcBorders/>
            <w:vAlign w:val="center"/>
          </w:tcPr>
          <w:p>
            <w:pPr>
              <w:pStyle w:val="TableHeading"/>
              <w:suppressLineNumbers/>
              <w:bidi w:val="0"/>
              <w:spacing w:before="0" w:after="283"/>
              <w:jc w:val="center"/>
              <w:rPr/>
            </w:pPr>
            <w:r>
              <w:rPr/>
              <w:t>Requirement</w:t>
            </w:r>
          </w:p>
        </w:tc>
        <w:tc>
          <w:tcPr>
            <w:tcW w:w="28998" w:type="dxa"/>
            <w:tcBorders/>
            <w:vAlign w:val="center"/>
          </w:tcPr>
          <w:p>
            <w:pPr>
              <w:pStyle w:val="TableHeading"/>
              <w:suppressLineNumbers/>
              <w:bidi w:val="0"/>
              <w:spacing w:before="0" w:after="283"/>
              <w:jc w:val="center"/>
              <w:rPr/>
            </w:pPr>
            <w:r>
              <w:rPr/>
              <w:t>DPF substrate</w:t>
            </w:r>
          </w:p>
        </w:tc>
        <w:tc>
          <w:tcPr>
            <w:tcW w:w="16239" w:type="dxa"/>
            <w:tcBorders/>
            <w:vAlign w:val="center"/>
          </w:tcPr>
          <w:p>
            <w:pPr>
              <w:pStyle w:val="TableHeading"/>
              <w:suppressLineNumbers/>
              <w:bidi w:val="0"/>
              <w:spacing w:before="0" w:after="283"/>
              <w:jc w:val="center"/>
              <w:rPr/>
            </w:pPr>
            <w:r>
              <w:rPr/>
              <w:t>Mode</w:t>
            </w:r>
          </w:p>
        </w:tc>
      </w:tr>
      <w:tr>
        <w:trPr/>
        <w:tc>
          <w:tcPr>
            <w:tcW w:w="1803" w:type="dxa"/>
            <w:tcBorders/>
            <w:vAlign w:val="center"/>
          </w:tcPr>
          <w:p>
            <w:pPr>
              <w:pStyle w:val="TableContents"/>
              <w:bidi w:val="0"/>
              <w:spacing w:before="0" w:after="283"/>
              <w:jc w:val="left"/>
              <w:rPr/>
            </w:pPr>
            <w:r>
              <w:rPr/>
              <w:t>Executable model</w:t>
            </w:r>
          </w:p>
        </w:tc>
        <w:tc>
          <w:tcPr>
            <w:tcW w:w="28998" w:type="dxa"/>
            <w:tcBorders/>
            <w:vAlign w:val="center"/>
          </w:tcPr>
          <w:p>
            <w:pPr>
              <w:pStyle w:val="TableContents"/>
              <w:bidi w:val="0"/>
              <w:spacing w:before="0" w:after="283"/>
              <w:jc w:val="left"/>
              <w:rPr/>
            </w:pPr>
            <w:r>
              <w:rPr/>
              <w:t xml:space="preserve">Work shapes are code-declared models: </w:t>
            </w:r>
            <w:r>
              <w:rPr>
                <w:rStyle w:val="SourceText"/>
              </w:rPr>
              <w:t>WorkShapeDefinition</w:t>
            </w:r>
            <w:r>
              <w:rPr/>
              <w:t xml:space="preserve"> in </w:t>
            </w:r>
            <w:r>
              <w:rPr>
                <w:rStyle w:val="SourceText"/>
              </w:rPr>
              <w:t>work-shapes.ts</w:t>
            </w:r>
            <w:r>
              <w:rPr/>
              <w:t xml:space="preserve"> and </w:t>
            </w:r>
            <w:r>
              <w:rPr>
                <w:rStyle w:val="SourceText"/>
              </w:rPr>
              <w:t>delivery-shapes.ts</w:t>
            </w:r>
            <w:r>
              <w:rPr/>
              <w:t xml:space="preserve"> (stages, accountable principals, </w:t>
            </w:r>
            <w:r>
              <w:rPr>
                <w:rStyle w:val="SourceText"/>
              </w:rPr>
              <w:t>governed-decision{decisionScope}</w:t>
            </w:r>
            <w:r>
              <w:rPr/>
              <w:t xml:space="preserve"> advances, stop conditions, </w:t>
            </w:r>
            <w:r>
              <w:rPr>
                <w:rStyle w:val="SourceText"/>
              </w:rPr>
              <w:t>grants</w:t>
            </w:r>
            <w:r>
              <w:rPr/>
              <w:t xml:space="preserve">, stage </w:t>
            </w:r>
            <w:r>
              <w:rPr>
                <w:rStyle w:val="SourceText"/>
              </w:rPr>
              <w:t>tools</w:t>
            </w:r>
            <w:r>
              <w:rPr/>
              <w:t>). The runtime reads the declared shape.</w:t>
            </w:r>
          </w:p>
        </w:tc>
        <w:tc>
          <w:tcPr>
            <w:tcW w:w="16239" w:type="dxa"/>
            <w:tcBorders/>
            <w:vAlign w:val="center"/>
          </w:tcPr>
          <w:p>
            <w:pPr>
              <w:pStyle w:val="TableContents"/>
              <w:bidi w:val="0"/>
              <w:spacing w:before="0" w:after="283"/>
              <w:jc w:val="left"/>
              <w:rPr/>
            </w:pPr>
            <w:r>
              <w:rPr>
                <w:rStyle w:val="Strong"/>
              </w:rPr>
              <w:t>Implemented</w:t>
            </w:r>
            <w:r>
              <w:rPr/>
              <w:t xml:space="preserve"> for work shapes. Build Studio's flow is not yet one declared shape (Annex C).</w:t>
            </w:r>
          </w:p>
        </w:tc>
      </w:tr>
      <w:tr>
        <w:trPr/>
        <w:tc>
          <w:tcPr>
            <w:tcW w:w="1803" w:type="dxa"/>
            <w:tcBorders/>
            <w:vAlign w:val="center"/>
          </w:tcPr>
          <w:p>
            <w:pPr>
              <w:pStyle w:val="TableContents"/>
              <w:bidi w:val="0"/>
              <w:spacing w:before="0" w:after="283"/>
              <w:jc w:val="left"/>
              <w:rPr/>
            </w:pPr>
            <w:r>
              <w:rPr/>
              <w:t>Transition gate sets</w:t>
            </w:r>
          </w:p>
        </w:tc>
        <w:tc>
          <w:tcPr>
            <w:tcW w:w="28998" w:type="dxa"/>
            <w:tcBorders/>
            <w:vAlign w:val="center"/>
          </w:tcPr>
          <w:p>
            <w:pPr>
              <w:pStyle w:val="TableContents"/>
              <w:bidi w:val="0"/>
              <w:spacing w:before="0" w:after="283"/>
              <w:jc w:val="left"/>
              <w:rPr/>
            </w:pPr>
            <w:r>
              <w:rPr/>
              <w:t>Declared per shape stage (</w:t>
            </w:r>
            <w:r>
              <w:rPr>
                <w:rStyle w:val="SourceText"/>
              </w:rPr>
              <w:t>advance</w:t>
            </w:r>
            <w:r>
              <w:rPr/>
              <w:t xml:space="preserve">). Build Studio's plan → build gate sets are declared per path in </w:t>
            </w:r>
            <w:r>
              <w:rPr>
                <w:rStyle w:val="SourceText"/>
              </w:rPr>
              <w:t>PLAN_TO_BUILD_GATE_PROFILES</w:t>
            </w:r>
            <w:r>
              <w:rPr/>
              <w:t xml:space="preserve"> (</w:t>
            </w:r>
            <w:r>
              <w:rPr>
                <w:rStyle w:val="SourceText"/>
              </w:rPr>
              <w:t>apps/web/lib/build/plan-to-build-transition-core.ts</w:t>
            </w:r>
            <w:r>
              <w:rPr/>
              <w:t xml:space="preserve">, re-exported by </w:t>
            </w:r>
            <w:r>
              <w:rPr>
                <w:rStyle w:val="SourceText"/>
              </w:rPr>
              <w:t>plan-to-build-transition.ts</w:t>
            </w:r>
            <w:r>
              <w:rPr/>
              <w:t xml:space="preserve">), and all five plan → build paths go through </w:t>
            </w:r>
            <w:r>
              <w:rPr>
                <w:rStyle w:val="SourceText"/>
              </w:rPr>
              <w:t>transitionPlanToBuild</w:t>
            </w:r>
            <w:r>
              <w:rPr/>
              <w:t xml:space="preserve"> (GPP Phase 2 PR-F). Build Studio's other transitions are still spread across several modules (Annex C).</w:t>
            </w:r>
          </w:p>
        </w:tc>
        <w:tc>
          <w:tcPr>
            <w:tcW w:w="16239" w:type="dxa"/>
            <w:tcBorders/>
            <w:vAlign w:val="center"/>
          </w:tcPr>
          <w:p>
            <w:pPr>
              <w:pStyle w:val="TableContents"/>
              <w:bidi w:val="0"/>
              <w:spacing w:before="0" w:after="283"/>
              <w:jc w:val="left"/>
              <w:rPr/>
            </w:pPr>
            <w:r>
              <w:rPr>
                <w:rStyle w:val="Strong"/>
              </w:rPr>
              <w:t>Partial.</w:t>
            </w:r>
            <w:r>
              <w:rPr/>
              <w:t xml:space="preserve"> Plan → build: one transition function, gate sets declared but still unequal per path, so C-8 remains open (BI-45F9CB7A). Other Build Studio transitions: not yet declared.</w:t>
            </w:r>
          </w:p>
        </w:tc>
      </w:tr>
      <w:tr>
        <w:trPr/>
        <w:tc>
          <w:tcPr>
            <w:tcW w:w="1803" w:type="dxa"/>
            <w:tcBorders/>
            <w:vAlign w:val="center"/>
          </w:tcPr>
          <w:p>
            <w:pPr>
              <w:pStyle w:val="TableContents"/>
              <w:bidi w:val="0"/>
              <w:spacing w:before="0" w:after="283"/>
              <w:jc w:val="left"/>
              <w:rPr/>
            </w:pPr>
            <w:r>
              <w:rPr/>
              <w:t>V-1 Design view</w:t>
            </w:r>
          </w:p>
        </w:tc>
        <w:tc>
          <w:tcPr>
            <w:tcW w:w="28998" w:type="dxa"/>
            <w:tcBorders/>
            <w:vAlign w:val="center"/>
          </w:tcPr>
          <w:p>
            <w:pPr>
              <w:pStyle w:val="TableContents"/>
              <w:bidi w:val="0"/>
              <w:spacing w:before="0" w:after="283"/>
              <w:jc w:val="left"/>
              <w:rPr/>
            </w:pPr>
            <w:r>
              <w:rPr/>
              <w:t>The EA/SysML parity engine (</w:t>
            </w:r>
            <w:r>
              <w:rPr>
                <w:rStyle w:val="SourceText"/>
              </w:rPr>
              <w:t>apps/web/lib/ea/reconcile-sysml-projections.ts</w:t>
            </w:r>
            <w:r>
              <w:rPr/>
              <w:t>) re-derives projections of MCP tool authority, coworker authority, value streams, process models and work-pattern architecture from their sources</w:t>
            </w:r>
          </w:p>
        </w:tc>
        <w:tc>
          <w:tcPr>
            <w:tcW w:w="16239" w:type="dxa"/>
            <w:tcBorders/>
            <w:vAlign w:val="center"/>
          </w:tcPr>
          <w:p>
            <w:pPr>
              <w:pStyle w:val="TableContents"/>
              <w:bidi w:val="0"/>
              <w:spacing w:before="0" w:after="283"/>
              <w:jc w:val="left"/>
              <w:rPr/>
            </w:pPr>
            <w:r>
              <w:rPr>
                <w:rStyle w:val="Strong"/>
              </w:rPr>
              <w:t>Partial.</w:t>
            </w:r>
            <w:r>
              <w:rPr/>
              <w:t xml:space="preserve"> Bindings are not yet first-class elements in the projection.</w:t>
            </w:r>
          </w:p>
        </w:tc>
      </w:tr>
      <w:tr>
        <w:trPr/>
        <w:tc>
          <w:tcPr>
            <w:tcW w:w="1803" w:type="dxa"/>
            <w:tcBorders/>
            <w:vAlign w:val="center"/>
          </w:tcPr>
          <w:p>
            <w:pPr>
              <w:pStyle w:val="TableContents"/>
              <w:bidi w:val="0"/>
              <w:spacing w:before="0" w:after="283"/>
              <w:jc w:val="left"/>
              <w:rPr/>
            </w:pPr>
            <w:r>
              <w:rPr/>
              <w:t>V-2 Runtime view</w:t>
            </w:r>
          </w:p>
        </w:tc>
        <w:tc>
          <w:tcPr>
            <w:tcW w:w="28998" w:type="dxa"/>
            <w:tcBorders/>
            <w:vAlign w:val="center"/>
          </w:tcPr>
          <w:p>
            <w:pPr>
              <w:pStyle w:val="TableContents"/>
              <w:bidi w:val="0"/>
              <w:spacing w:before="0" w:after="283"/>
              <w:jc w:val="left"/>
              <w:rPr/>
            </w:pPr>
            <w:r>
              <w:rPr>
                <w:rStyle w:val="SourceText"/>
              </w:rPr>
              <w:t>shape-projection.ts</w:t>
            </w:r>
            <w:r>
              <w:rPr/>
              <w:t xml:space="preserve"> renders a room's stages as a graph in </w:t>
            </w:r>
            <w:r>
              <w:rPr>
                <w:rStyle w:val="SourceText"/>
              </w:rPr>
              <w:t>WorkroomShape.tsx</w:t>
            </w:r>
            <w:r>
              <w:rPr/>
              <w:t>. Gate verdicts are read off receipts, never inferred.</w:t>
            </w:r>
          </w:p>
        </w:tc>
        <w:tc>
          <w:tcPr>
            <w:tcW w:w="16239" w:type="dxa"/>
            <w:tcBorders/>
            <w:vAlign w:val="center"/>
          </w:tcPr>
          <w:p>
            <w:pPr>
              <w:pStyle w:val="TableContents"/>
              <w:bidi w:val="0"/>
              <w:spacing w:before="0" w:after="283"/>
              <w:jc w:val="left"/>
              <w:rPr/>
            </w:pPr>
            <w:r>
              <w:rPr>
                <w:rStyle w:val="Strong"/>
              </w:rPr>
              <w:t>Partial.</w:t>
            </w:r>
            <w:r>
              <w:rPr/>
              <w:t xml:space="preserve"> Bindings in force, the envelope and gate modes are not yet shown.</w:t>
            </w:r>
          </w:p>
        </w:tc>
      </w:tr>
      <w:tr>
        <w:trPr/>
        <w:tc>
          <w:tcPr>
            <w:tcW w:w="1803" w:type="dxa"/>
            <w:tcBorders/>
            <w:vAlign w:val="center"/>
          </w:tcPr>
          <w:p>
            <w:pPr>
              <w:pStyle w:val="TableContents"/>
              <w:bidi w:val="0"/>
              <w:spacing w:before="0" w:after="283"/>
              <w:jc w:val="left"/>
              <w:rPr/>
            </w:pPr>
            <w:r>
              <w:rPr/>
              <w:t>V-3 Shared identity</w:t>
            </w:r>
          </w:p>
        </w:tc>
        <w:tc>
          <w:tcPr>
            <w:tcW w:w="28998" w:type="dxa"/>
            <w:tcBorders/>
            <w:vAlign w:val="center"/>
          </w:tcPr>
          <w:p>
            <w:pPr>
              <w:pStyle w:val="TableContents"/>
              <w:bidi w:val="0"/>
              <w:spacing w:before="0" w:after="283"/>
              <w:jc w:val="left"/>
              <w:rPr/>
            </w:pPr>
            <w:r>
              <w:rPr/>
              <w:t xml:space="preserve">Rooms pin </w:t>
            </w:r>
            <w:r>
              <w:rPr>
                <w:rStyle w:val="SourceText"/>
              </w:rPr>
              <w:t>key@version</w:t>
            </w:r>
            <w:r>
              <w:rPr/>
              <w:t xml:space="preserve"> of their shape</w:t>
            </w:r>
          </w:p>
        </w:tc>
        <w:tc>
          <w:tcPr>
            <w:tcW w:w="16239" w:type="dxa"/>
            <w:tcBorders/>
            <w:vAlign w:val="center"/>
          </w:tcPr>
          <w:p>
            <w:pPr>
              <w:pStyle w:val="TableContents"/>
              <w:bidi w:val="0"/>
              <w:spacing w:before="0" w:after="283"/>
              <w:jc w:val="left"/>
              <w:rPr/>
            </w:pPr>
            <w:r>
              <w:rPr>
                <w:rStyle w:val="Strong"/>
              </w:rPr>
              <w:t>Partial.</w:t>
            </w:r>
            <w:r>
              <w:rPr/>
              <w:t xml:space="preserve"> Binding identifiers do not exist yet.</w:t>
            </w:r>
          </w:p>
        </w:tc>
      </w:tr>
      <w:tr>
        <w:trPr/>
        <w:tc>
          <w:tcPr>
            <w:tcW w:w="1803" w:type="dxa"/>
            <w:tcBorders/>
            <w:vAlign w:val="center"/>
          </w:tcPr>
          <w:p>
            <w:pPr>
              <w:pStyle w:val="TableContents"/>
              <w:bidi w:val="0"/>
              <w:spacing w:before="0" w:after="283"/>
              <w:jc w:val="left"/>
              <w:rPr/>
            </w:pPr>
            <w:r>
              <w:rPr/>
              <w:t>V-4 Divergence</w:t>
            </w:r>
          </w:p>
        </w:tc>
        <w:tc>
          <w:tcPr>
            <w:tcW w:w="28998" w:type="dxa"/>
            <w:tcBorders/>
            <w:vAlign w:val="center"/>
          </w:tcPr>
          <w:p>
            <w:pPr>
              <w:pStyle w:val="TableContents"/>
              <w:bidi w:val="0"/>
              <w:spacing w:before="0" w:after="283"/>
              <w:jc w:val="left"/>
              <w:rPr/>
            </w:pPr>
            <w:r>
              <w:rPr/>
              <w:t>Architecture-vs-execution drift in both directions, and participants derived from the architecture's participation matrix</w:t>
            </w:r>
          </w:p>
        </w:tc>
        <w:tc>
          <w:tcPr>
            <w:tcW w:w="16239" w:type="dxa"/>
            <w:tcBorders/>
            <w:vAlign w:val="center"/>
          </w:tcPr>
          <w:p>
            <w:pPr>
              <w:pStyle w:val="TableContents"/>
              <w:bidi w:val="0"/>
              <w:spacing w:before="0" w:after="283"/>
              <w:jc w:val="left"/>
              <w:rPr/>
            </w:pPr>
            <w:r>
              <w:rPr>
                <w:rStyle w:val="Strong"/>
              </w:rPr>
              <w:t>Not built.</w:t>
            </w:r>
            <w:r>
              <w:rPr/>
              <w:t xml:space="preserve"> Tracked as open items in EP-MBSE-WORKROOM-SPINE: BI-FA970AE2 (drift both ways), BI-A83D5FB8 (participants from the architecture), BI-580A970A (reference spine room), BI-B8B3FB70 (rooms at IT4IT value-stream stages).</w:t>
            </w:r>
          </w:p>
        </w:tc>
      </w:tr>
    </w:tbl>
    <w:p>
      <w:pPr>
        <w:pStyle w:val="Heading2"/>
        <w:bidi w:val="0"/>
        <w:jc w:val="left"/>
        <w:rPr/>
      </w:pPr>
      <w:r>
        <w:rPr/>
        <w:t>13. Hazards</w:t>
      </w:r>
    </w:p>
    <w:tbl>
      <w:tblPr>
        <w:tblW w:w="14315" w:type="dxa"/>
        <w:jc w:val="left"/>
        <w:tblInd w:w="0" w:type="dxa"/>
        <w:tblLayout w:type="fixed"/>
        <w:tblCellMar>
          <w:top w:w="28" w:type="dxa"/>
          <w:left w:w="28" w:type="dxa"/>
          <w:bottom w:w="28" w:type="dxa"/>
          <w:right w:w="28" w:type="dxa"/>
        </w:tblCellMar>
      </w:tblPr>
      <w:tblGrid>
        <w:gridCol w:w="6521"/>
        <w:gridCol w:w="7794"/>
      </w:tblGrid>
      <w:tr>
        <w:trPr>
          <w:tblHeader w:val="true"/>
        </w:trPr>
        <w:tc>
          <w:tcPr>
            <w:tcW w:w="6521" w:type="dxa"/>
            <w:tcBorders/>
            <w:vAlign w:val="center"/>
          </w:tcPr>
          <w:p>
            <w:pPr>
              <w:pStyle w:val="TableHeading"/>
              <w:suppressLineNumbers/>
              <w:bidi w:val="0"/>
              <w:spacing w:before="0" w:after="283"/>
              <w:jc w:val="center"/>
              <w:rPr/>
            </w:pPr>
            <w:r>
              <w:rPr/>
              <w:t>Unsafe control action</w:t>
            </w:r>
          </w:p>
        </w:tc>
        <w:tc>
          <w:tcPr>
            <w:tcW w:w="7794" w:type="dxa"/>
            <w:tcBorders/>
            <w:vAlign w:val="center"/>
          </w:tcPr>
          <w:p>
            <w:pPr>
              <w:pStyle w:val="TableHeading"/>
              <w:suppressLineNumbers/>
              <w:bidi w:val="0"/>
              <w:spacing w:before="0" w:after="283"/>
              <w:jc w:val="center"/>
              <w:rPr/>
            </w:pPr>
            <w:r>
              <w:rPr/>
              <w:t>Prevention and detection</w:t>
            </w:r>
          </w:p>
        </w:tc>
      </w:tr>
      <w:tr>
        <w:trPr/>
        <w:tc>
          <w:tcPr>
            <w:tcW w:w="6521" w:type="dxa"/>
            <w:tcBorders/>
            <w:vAlign w:val="center"/>
          </w:tcPr>
          <w:p>
            <w:pPr>
              <w:pStyle w:val="TableContents"/>
              <w:bidi w:val="0"/>
              <w:spacing w:before="0" w:after="283"/>
              <w:jc w:val="left"/>
              <w:rPr/>
            </w:pPr>
            <w:r>
              <w:rPr/>
              <w:t>A binding admits more than the stage needs</w:t>
            </w:r>
          </w:p>
        </w:tc>
        <w:tc>
          <w:tcPr>
            <w:tcW w:w="7794" w:type="dxa"/>
            <w:tcBorders/>
            <w:vAlign w:val="center"/>
          </w:tcPr>
          <w:p>
            <w:pPr>
              <w:pStyle w:val="TableContents"/>
              <w:bidi w:val="0"/>
              <w:spacing w:before="0" w:after="283"/>
              <w:jc w:val="left"/>
              <w:rPr/>
            </w:pPr>
            <w:r>
              <w:rPr/>
              <w:t>Stage-level attachment (§7 element 2); subject scope; C-6 reach reconciliation</w:t>
            </w:r>
          </w:p>
        </w:tc>
      </w:tr>
      <w:tr>
        <w:trPr/>
        <w:tc>
          <w:tcPr>
            <w:tcW w:w="6521" w:type="dxa"/>
            <w:tcBorders/>
            <w:vAlign w:val="center"/>
          </w:tcPr>
          <w:p>
            <w:pPr>
              <w:pStyle w:val="TableContents"/>
              <w:bidi w:val="0"/>
              <w:spacing w:before="0" w:after="283"/>
              <w:jc w:val="left"/>
              <w:rPr/>
            </w:pPr>
            <w:r>
              <w:rPr/>
              <w:t>A dangling capability reads as authority in force</w:t>
            </w:r>
          </w:p>
        </w:tc>
        <w:tc>
          <w:tcPr>
            <w:tcW w:w="7794" w:type="dxa"/>
            <w:tcBorders/>
            <w:vAlign w:val="center"/>
          </w:tcPr>
          <w:p>
            <w:pPr>
              <w:pStyle w:val="TableContents"/>
              <w:bidi w:val="0"/>
              <w:spacing w:before="0" w:after="283"/>
              <w:jc w:val="left"/>
              <w:rPr/>
            </w:pPr>
            <w:r>
              <w:rPr/>
              <w:t>C-2 vocabulary resolution</w:t>
            </w:r>
          </w:p>
        </w:tc>
      </w:tr>
      <w:tr>
        <w:trPr/>
        <w:tc>
          <w:tcPr>
            <w:tcW w:w="6521" w:type="dxa"/>
            <w:tcBorders/>
            <w:vAlign w:val="center"/>
          </w:tcPr>
          <w:p>
            <w:pPr>
              <w:pStyle w:val="TableContents"/>
              <w:bidi w:val="0"/>
              <w:spacing w:before="0" w:after="283"/>
              <w:jc w:val="left"/>
              <w:rPr/>
            </w:pPr>
            <w:r>
              <w:rPr/>
              <w:t>A decision is reused after its basis changed</w:t>
            </w:r>
          </w:p>
        </w:tc>
        <w:tc>
          <w:tcPr>
            <w:tcW w:w="7794" w:type="dxa"/>
            <w:tcBorders/>
            <w:vAlign w:val="center"/>
          </w:tcPr>
          <w:p>
            <w:pPr>
              <w:pStyle w:val="TableContents"/>
              <w:bidi w:val="0"/>
              <w:spacing w:before="0" w:after="283"/>
              <w:jc w:val="left"/>
              <w:rPr/>
            </w:pPr>
            <w:r>
              <w:rPr/>
              <w:t>Versioned bindings; §9.3 expiry and revocation</w:t>
            </w:r>
          </w:p>
        </w:tc>
      </w:tr>
      <w:tr>
        <w:trPr/>
        <w:tc>
          <w:tcPr>
            <w:tcW w:w="6521" w:type="dxa"/>
            <w:tcBorders/>
            <w:vAlign w:val="center"/>
          </w:tcPr>
          <w:p>
            <w:pPr>
              <w:pStyle w:val="TableContents"/>
              <w:bidi w:val="0"/>
              <w:spacing w:before="0" w:after="283"/>
              <w:jc w:val="left"/>
              <w:rPr/>
            </w:pPr>
            <w:r>
              <w:rPr/>
              <w:t>An envelope silently assembles the lethal trifecta</w:t>
            </w:r>
          </w:p>
        </w:tc>
        <w:tc>
          <w:tcPr>
            <w:tcW w:w="7794" w:type="dxa"/>
            <w:tcBorders/>
            <w:vAlign w:val="center"/>
          </w:tcPr>
          <w:p>
            <w:pPr>
              <w:pStyle w:val="TableContents"/>
              <w:bidi w:val="0"/>
              <w:spacing w:before="0" w:after="283"/>
              <w:jc w:val="left"/>
              <w:rPr/>
            </w:pPr>
            <w:r>
              <w:rPr/>
              <w:t>§8 co-occurrence; C-5</w:t>
            </w:r>
          </w:p>
        </w:tc>
      </w:tr>
      <w:tr>
        <w:trPr/>
        <w:tc>
          <w:tcPr>
            <w:tcW w:w="6521" w:type="dxa"/>
            <w:tcBorders/>
            <w:vAlign w:val="center"/>
          </w:tcPr>
          <w:p>
            <w:pPr>
              <w:pStyle w:val="TableContents"/>
              <w:bidi w:val="0"/>
              <w:spacing w:before="0" w:after="283"/>
              <w:jc w:val="left"/>
              <w:rPr/>
            </w:pPr>
            <w:r>
              <w:rPr/>
              <w:t>A shadow gate is reported as enforcement</w:t>
            </w:r>
          </w:p>
        </w:tc>
        <w:tc>
          <w:tcPr>
            <w:tcW w:w="7794" w:type="dxa"/>
            <w:tcBorders/>
            <w:vAlign w:val="center"/>
          </w:tcPr>
          <w:p>
            <w:pPr>
              <w:pStyle w:val="TableContents"/>
              <w:bidi w:val="0"/>
              <w:spacing w:before="0" w:after="283"/>
              <w:jc w:val="left"/>
              <w:rPr/>
            </w:pPr>
            <w:r>
              <w:rPr/>
              <w:t xml:space="preserve">Element 11; C-7; </w:t>
            </w:r>
            <w:r>
              <w:rPr>
                <w:rStyle w:val="SourceText"/>
              </w:rPr>
              <w:t>GPP-Enforced</w:t>
            </w:r>
            <w:r>
              <w:rPr/>
              <w:t xml:space="preserve"> exclusion</w:t>
            </w:r>
          </w:p>
        </w:tc>
      </w:tr>
      <w:tr>
        <w:trPr/>
        <w:tc>
          <w:tcPr>
            <w:tcW w:w="6521" w:type="dxa"/>
            <w:tcBorders/>
            <w:vAlign w:val="center"/>
          </w:tcPr>
          <w:p>
            <w:pPr>
              <w:pStyle w:val="TableContents"/>
              <w:bidi w:val="0"/>
              <w:spacing w:before="0" w:after="283"/>
              <w:jc w:val="left"/>
              <w:rPr/>
            </w:pPr>
            <w:r>
              <w:rPr/>
              <w:t>Ownership is ambiguous, so the gate defaults to admit</w:t>
            </w:r>
          </w:p>
        </w:tc>
        <w:tc>
          <w:tcPr>
            <w:tcW w:w="7794" w:type="dxa"/>
            <w:tcBorders/>
            <w:vAlign w:val="center"/>
          </w:tcPr>
          <w:p>
            <w:pPr>
              <w:pStyle w:val="TableContents"/>
              <w:bidi w:val="0"/>
              <w:spacing w:before="0" w:after="283"/>
              <w:jc w:val="left"/>
              <w:rPr/>
            </w:pPr>
            <w:r>
              <w:rPr/>
              <w:t xml:space="preserve">§7.2 </w:t>
            </w:r>
            <w:r>
              <w:rPr>
                <w:rStyle w:val="SourceText"/>
              </w:rPr>
              <w:t>escalate</w:t>
            </w:r>
            <w:r>
              <w:rPr/>
              <w:t>; C-3, C-4</w:t>
            </w:r>
          </w:p>
        </w:tc>
      </w:tr>
      <w:tr>
        <w:trPr/>
        <w:tc>
          <w:tcPr>
            <w:tcW w:w="6521" w:type="dxa"/>
            <w:tcBorders/>
            <w:vAlign w:val="center"/>
          </w:tcPr>
          <w:p>
            <w:pPr>
              <w:pStyle w:val="TableContents"/>
              <w:bidi w:val="0"/>
              <w:spacing w:before="0" w:after="283"/>
              <w:jc w:val="left"/>
              <w:rPr/>
            </w:pPr>
            <w:r>
              <w:rPr/>
              <w:t>A second code path advances the same transition with fewer gates</w:t>
            </w:r>
          </w:p>
        </w:tc>
        <w:tc>
          <w:tcPr>
            <w:tcW w:w="7794" w:type="dxa"/>
            <w:tcBorders/>
            <w:vAlign w:val="center"/>
          </w:tcPr>
          <w:p>
            <w:pPr>
              <w:pStyle w:val="TableContents"/>
              <w:bidi w:val="0"/>
              <w:spacing w:before="0" w:after="283"/>
              <w:jc w:val="left"/>
              <w:rPr/>
            </w:pPr>
            <w:r>
              <w:rPr/>
              <w:t>§12.4.1 declared gate set per transition; C-8</w:t>
            </w:r>
          </w:p>
        </w:tc>
      </w:tr>
      <w:tr>
        <w:trPr/>
        <w:tc>
          <w:tcPr>
            <w:tcW w:w="6521" w:type="dxa"/>
            <w:tcBorders/>
            <w:vAlign w:val="center"/>
          </w:tcPr>
          <w:p>
            <w:pPr>
              <w:pStyle w:val="TableContents"/>
              <w:bidi w:val="0"/>
              <w:spacing w:before="0" w:after="283"/>
              <w:jc w:val="left"/>
              <w:rPr/>
            </w:pPr>
            <w:r>
              <w:rPr/>
              <w:t>A growing human queue drives operators back to blanket approval</w:t>
            </w:r>
          </w:p>
        </w:tc>
        <w:tc>
          <w:tcPr>
            <w:tcW w:w="7794" w:type="dxa"/>
            <w:tcBorders/>
            <w:vAlign w:val="center"/>
          </w:tcPr>
          <w:p>
            <w:pPr>
              <w:pStyle w:val="TableContents"/>
              <w:bidi w:val="0"/>
              <w:spacing w:before="0" w:after="283"/>
              <w:jc w:val="left"/>
              <w:rPr/>
            </w:pPr>
            <w:r>
              <w:rPr/>
              <w:t>M-2 and M-3 monitored; bindings sized so one decision covers a coherent class</w:t>
            </w:r>
          </w:p>
        </w:tc>
      </w:tr>
    </w:tbl>
    <w:p>
      <w:pPr>
        <w:pStyle w:val="Heading2"/>
        <w:bidi w:val="0"/>
        <w:jc w:val="left"/>
        <w:rPr/>
      </w:pPr>
      <w:r>
        <w:rPr/>
        <w:t>14. Security and privacy considerations</w:t>
      </w:r>
    </w:p>
    <w:p>
      <w:pPr>
        <w:pStyle w:val="BodyText"/>
        <w:bidi w:val="0"/>
        <w:jc w:val="left"/>
        <w:rPr/>
      </w:pPr>
      <w:r>
        <w:rPr/>
        <w:t xml:space="preserve">A binding names authorities, subjects and evidence. Binding records and gate decisions can reveal organizational structure and sensitive subjects. They </w:t>
      </w:r>
      <w:r>
        <w:rPr>
          <w:rStyle w:val="SourceText"/>
        </w:rPr>
        <w:t>MUST</w:t>
      </w:r>
      <w:r>
        <w:rPr/>
        <w:t xml:space="preserve"> be readable only by principals entitled to the underlying work. A GPP model does not reduce the need for sandboxing, egress control, credential isolation or data-flow controls. It determines what those controls must permit.</w:t>
      </w:r>
    </w:p>
    <w:p>
      <w:pPr>
        <w:pStyle w:val="Heading2"/>
        <w:bidi w:val="0"/>
        <w:jc w:val="left"/>
        <w:rPr/>
      </w:pPr>
      <w:r>
        <w:rPr/>
        <w:t>Annex A (informative): DPF realization status</w:t>
      </w:r>
    </w:p>
    <w:p>
      <w:pPr>
        <w:pStyle w:val="BodyText"/>
        <w:bidi w:val="0"/>
        <w:jc w:val="left"/>
        <w:rPr/>
      </w:pPr>
      <w:r>
        <w:rPr/>
        <w:t>Assessed against repository source on 2026-09-30. Source presence is not runtime enforcement; the mode column says which.</w:t>
      </w:r>
    </w:p>
    <w:tbl>
      <w:tblPr>
        <w:tblW w:w="47040" w:type="dxa"/>
        <w:jc w:val="left"/>
        <w:tblInd w:w="0" w:type="dxa"/>
        <w:tblLayout w:type="fixed"/>
        <w:tblCellMar>
          <w:top w:w="28" w:type="dxa"/>
          <w:left w:w="28" w:type="dxa"/>
          <w:bottom w:w="28" w:type="dxa"/>
          <w:right w:w="28" w:type="dxa"/>
        </w:tblCellMar>
      </w:tblPr>
      <w:tblGrid>
        <w:gridCol w:w="3175"/>
        <w:gridCol w:w="37830"/>
        <w:gridCol w:w="6035"/>
      </w:tblGrid>
      <w:tr>
        <w:trPr>
          <w:tblHeader w:val="true"/>
        </w:trPr>
        <w:tc>
          <w:tcPr>
            <w:tcW w:w="3175" w:type="dxa"/>
            <w:tcBorders/>
            <w:vAlign w:val="center"/>
          </w:tcPr>
          <w:p>
            <w:pPr>
              <w:pStyle w:val="TableHeading"/>
              <w:suppressLineNumbers/>
              <w:bidi w:val="0"/>
              <w:spacing w:before="0" w:after="283"/>
              <w:jc w:val="center"/>
              <w:rPr/>
            </w:pPr>
            <w:r>
              <w:rPr/>
              <w:t>GPP element</w:t>
            </w:r>
          </w:p>
        </w:tc>
        <w:tc>
          <w:tcPr>
            <w:tcW w:w="37830" w:type="dxa"/>
            <w:tcBorders/>
            <w:vAlign w:val="center"/>
          </w:tcPr>
          <w:p>
            <w:pPr>
              <w:pStyle w:val="TableHeading"/>
              <w:suppressLineNumbers/>
              <w:bidi w:val="0"/>
              <w:spacing w:before="0" w:after="283"/>
              <w:jc w:val="center"/>
              <w:rPr/>
            </w:pPr>
            <w:r>
              <w:rPr/>
              <w:t>DPF substrate</w:t>
            </w:r>
          </w:p>
        </w:tc>
        <w:tc>
          <w:tcPr>
            <w:tcW w:w="6035" w:type="dxa"/>
            <w:tcBorders/>
            <w:vAlign w:val="center"/>
          </w:tcPr>
          <w:p>
            <w:pPr>
              <w:pStyle w:val="TableHeading"/>
              <w:suppressLineNumbers/>
              <w:bidi w:val="0"/>
              <w:spacing w:before="0" w:after="283"/>
              <w:jc w:val="center"/>
              <w:rPr/>
            </w:pPr>
            <w:r>
              <w:rPr/>
              <w:t>Mode today</w:t>
            </w:r>
          </w:p>
        </w:tc>
      </w:tr>
      <w:tr>
        <w:trPr/>
        <w:tc>
          <w:tcPr>
            <w:tcW w:w="3175" w:type="dxa"/>
            <w:tcBorders/>
            <w:vAlign w:val="center"/>
          </w:tcPr>
          <w:p>
            <w:pPr>
              <w:pStyle w:val="TableContents"/>
              <w:bidi w:val="0"/>
              <w:spacing w:before="0" w:after="283"/>
              <w:jc w:val="left"/>
              <w:rPr/>
            </w:pPr>
            <w:r>
              <w:rPr/>
              <w:t>Work shapes and stages</w:t>
            </w:r>
          </w:p>
        </w:tc>
        <w:tc>
          <w:tcPr>
            <w:tcW w:w="37830" w:type="dxa"/>
            <w:tcBorders/>
            <w:vAlign w:val="center"/>
          </w:tcPr>
          <w:p>
            <w:pPr>
              <w:pStyle w:val="TableContents"/>
              <w:bidi w:val="0"/>
              <w:spacing w:before="0" w:after="283"/>
              <w:jc w:val="left"/>
              <w:rPr/>
            </w:pPr>
            <w:r>
              <w:rPr>
                <w:rStyle w:val="SourceText"/>
              </w:rPr>
              <w:t>apps/web/lib/work-management/work-shapes.ts</w:t>
            </w:r>
            <w:r>
              <w:rPr/>
              <w:t xml:space="preserve">, </w:t>
            </w:r>
            <w:r>
              <w:rPr>
                <w:rStyle w:val="SourceText"/>
              </w:rPr>
              <w:t>delivery-shapes.ts</w:t>
            </w:r>
            <w:r>
              <w:rPr/>
              <w:t xml:space="preserve"> — 47 work shapes; each stage has an accountable principal and an advance that is a status change or a </w:t>
            </w:r>
            <w:r>
              <w:rPr>
                <w:rStyle w:val="SourceText"/>
              </w:rPr>
              <w:t>governed-decision{decisionScope}</w:t>
            </w:r>
          </w:p>
        </w:tc>
        <w:tc>
          <w:tcPr>
            <w:tcW w:w="6035" w:type="dxa"/>
            <w:tcBorders/>
            <w:vAlign w:val="center"/>
          </w:tcPr>
          <w:p>
            <w:pPr>
              <w:pStyle w:val="TableContents"/>
              <w:bidi w:val="0"/>
              <w:spacing w:before="0" w:after="283"/>
              <w:jc w:val="left"/>
              <w:rPr/>
            </w:pPr>
            <w:r>
              <w:rPr/>
              <w:t>Defined</w:t>
            </w:r>
          </w:p>
        </w:tc>
      </w:tr>
      <w:tr>
        <w:trPr/>
        <w:tc>
          <w:tcPr>
            <w:tcW w:w="3175" w:type="dxa"/>
            <w:tcBorders/>
            <w:vAlign w:val="center"/>
          </w:tcPr>
          <w:p>
            <w:pPr>
              <w:pStyle w:val="TableContents"/>
              <w:bidi w:val="0"/>
              <w:spacing w:before="0" w:after="283"/>
              <w:jc w:val="left"/>
              <w:rPr/>
            </w:pPr>
            <w:r>
              <w:rPr/>
              <w:t>Stage-level capability set (first slice)</w:t>
            </w:r>
          </w:p>
        </w:tc>
        <w:tc>
          <w:tcPr>
            <w:tcW w:w="37830" w:type="dxa"/>
            <w:tcBorders/>
            <w:vAlign w:val="center"/>
          </w:tcPr>
          <w:p>
            <w:pPr>
              <w:pStyle w:val="TableContents"/>
              <w:bidi w:val="0"/>
              <w:spacing w:before="0" w:after="283"/>
              <w:jc w:val="left"/>
              <w:rPr/>
            </w:pPr>
            <w:r>
              <w:rPr>
                <w:rStyle w:val="SourceText"/>
              </w:rPr>
              <w:t>WorkShapeStage.tools</w:t>
            </w:r>
            <w:r>
              <w:rPr/>
              <w:t xml:space="preserve"> in </w:t>
            </w:r>
            <w:r>
              <w:rPr>
                <w:rStyle w:val="SourceText"/>
              </w:rPr>
              <w:t>work-shapes.ts</w:t>
            </w:r>
            <w:r>
              <w:rPr/>
              <w:t xml:space="preserve">, read through </w:t>
            </w:r>
            <w:r>
              <w:rPr>
                <w:rStyle w:val="SourceText"/>
              </w:rPr>
              <w:t>stageDeclaredTools</w:t>
            </w:r>
            <w:r>
              <w:rPr/>
              <w:t xml:space="preserve"> (</w:t>
            </w:r>
            <w:r>
              <w:rPr>
                <w:rStyle w:val="SourceText"/>
              </w:rPr>
              <w:t>stage-briefing.ts</w:t>
            </w:r>
            <w:r>
              <w:rPr/>
              <w:t xml:space="preserve">). Declared tools are pinned into each scheduled stage run by </w:t>
            </w:r>
            <w:r>
              <w:rPr>
                <w:rStyle w:val="SourceText"/>
              </w:rPr>
              <w:t>scheduledToolsNeedingPin</w:t>
            </w:r>
            <w:r>
              <w:rPr/>
              <w:t xml:space="preserve"> (</w:t>
            </w:r>
            <w:r>
              <w:rPr>
                <w:rStyle w:val="SourceText"/>
              </w:rPr>
              <w:t>apps/web/lib/tak/scheduled-task-runs.ts</w:t>
            </w:r>
            <w:r>
              <w:rPr/>
              <w:t xml:space="preserve">). Parity test </w:t>
            </w:r>
            <w:r>
              <w:rPr>
                <w:rStyle w:val="SourceText"/>
              </w:rPr>
              <w:t>apps/web/lib/work-management/stage-tool-parity.test.ts</w:t>
            </w:r>
            <w:r>
              <w:rPr/>
              <w:t xml:space="preserve"> asserts C-1 (GPP-001), C-2 (GPP-002) and the grant-held first condition of C-4. Stages that do not yet have the read tool they need are listed in the shrink-only </w:t>
            </w:r>
            <w:r>
              <w:rPr>
                <w:rStyle w:val="SourceText"/>
              </w:rPr>
              <w:t>KNOWN_STAGE_TOOL_GAPS</w:t>
            </w:r>
            <w:r>
              <w:rPr/>
              <w:t xml:space="preserve"> (</w:t>
            </w:r>
            <w:r>
              <w:rPr>
                <w:rStyle w:val="SourceText"/>
              </w:rPr>
              <w:t>stage-tool-gaps.ts</w:t>
            </w:r>
            <w:r>
              <w:rPr/>
              <w:t xml:space="preserve">). BI-43C3E914, PR #5846, merge </w:t>
            </w:r>
            <w:r>
              <w:rPr>
                <w:rStyle w:val="SourceText"/>
              </w:rPr>
              <w:t>a6557758ce41</w:t>
            </w:r>
            <w:r>
              <w:rPr/>
              <w:t>.</w:t>
            </w:r>
          </w:p>
        </w:tc>
        <w:tc>
          <w:tcPr>
            <w:tcW w:w="6035" w:type="dxa"/>
            <w:tcBorders/>
            <w:vAlign w:val="center"/>
          </w:tcPr>
          <w:p>
            <w:pPr>
              <w:pStyle w:val="TableContents"/>
              <w:bidi w:val="0"/>
              <w:spacing w:before="0" w:after="283"/>
              <w:jc w:val="left"/>
              <w:rPr/>
            </w:pPr>
            <w:r>
              <w:rPr>
                <w:rStyle w:val="Strong"/>
              </w:rPr>
              <w:t>Declared and tested</w:t>
            </w:r>
            <w:r>
              <w:rPr/>
              <w:t xml:space="preserve"> for standing, coworker and orchestration stages. Pinning is used for scheduled runs. Delivery shapes are not yet covered. The declarations were added without shape version bumps, so §2.1.1 applies: C-6 must confirm they made existing reach explicit rather than widening it.</w:t>
            </w:r>
          </w:p>
        </w:tc>
      </w:tr>
      <w:tr>
        <w:trPr/>
        <w:tc>
          <w:tcPr>
            <w:tcW w:w="3175" w:type="dxa"/>
            <w:tcBorders/>
            <w:vAlign w:val="center"/>
          </w:tcPr>
          <w:p>
            <w:pPr>
              <w:pStyle w:val="TableContents"/>
              <w:bidi w:val="0"/>
              <w:spacing w:before="0" w:after="283"/>
              <w:jc w:val="left"/>
              <w:rPr/>
            </w:pPr>
            <w:r>
              <w:rPr/>
              <w:t>Shape-level capability set</w:t>
            </w:r>
          </w:p>
        </w:tc>
        <w:tc>
          <w:tcPr>
            <w:tcW w:w="37830" w:type="dxa"/>
            <w:tcBorders/>
            <w:vAlign w:val="center"/>
          </w:tcPr>
          <w:p>
            <w:pPr>
              <w:pStyle w:val="TableContents"/>
              <w:bidi w:val="0"/>
              <w:spacing w:before="0" w:after="283"/>
              <w:jc w:val="left"/>
              <w:rPr/>
            </w:pPr>
            <w:r>
              <w:rPr/>
              <w:t xml:space="preserve">Work-shape </w:t>
            </w:r>
            <w:r>
              <w:rPr>
                <w:rStyle w:val="SourceText"/>
              </w:rPr>
              <w:t>grants</w:t>
            </w:r>
            <w:r>
              <w:rPr/>
              <w:t xml:space="preserve"> in the §7.1 vocabulary (</w:t>
            </w:r>
            <w:r>
              <w:rPr>
                <w:rStyle w:val="SourceText"/>
              </w:rPr>
              <w:t>tool:read</w:t>
            </w:r>
            <w:r>
              <w:rPr/>
              <w:t xml:space="preserve">, </w:t>
            </w:r>
            <w:r>
              <w:rPr>
                <w:rStyle w:val="SourceText"/>
              </w:rPr>
              <w:t>tool:write-internal</w:t>
            </w:r>
            <w:r>
              <w:rPr/>
              <w:t xml:space="preserve">, </w:t>
            </w:r>
            <w:r>
              <w:rPr>
                <w:rStyle w:val="SourceText"/>
              </w:rPr>
              <w:t>tool:write-source</w:t>
            </w:r>
            <w:r>
              <w:rPr/>
              <w:t xml:space="preserve">), resolved to enforceable grants by </w:t>
            </w:r>
            <w:r>
              <w:rPr>
                <w:rStyle w:val="SourceText"/>
              </w:rPr>
              <w:t>WORK_SHAPE_CAPABILITY_GRANTS</w:t>
            </w:r>
            <w:r>
              <w:rPr/>
              <w:t xml:space="preserve"> in </w:t>
            </w:r>
            <w:r>
              <w:rPr>
                <w:rStyle w:val="SourceText"/>
              </w:rPr>
              <w:t>roomGrantsFromWorkShape</w:t>
            </w:r>
            <w:r>
              <w:rPr/>
              <w:t xml:space="preserve"> (</w:t>
            </w:r>
            <w:r>
              <w:rPr>
                <w:rStyle w:val="SourceText"/>
              </w:rPr>
              <w:t>room-turn-authority.ts</w:t>
            </w:r>
            <w:r>
              <w:rPr/>
              <w:t xml:space="preserve">). The C-2 guard </w:t>
            </w:r>
            <w:r>
              <w:rPr>
                <w:rStyle w:val="SourceText"/>
              </w:rPr>
              <w:t>apps/web/lib/work-management/work-shape-grants-resolve.test.ts</w:t>
            </w:r>
            <w:r>
              <w:rPr/>
              <w:t xml:space="preserve"> fails on any shape token that resolves to nothing, with a shrink-only list of the standing-shape tokens still dangling on 2026-10-01. Build Studio rooms admit their executing coworkers as contributors at attach and at resume (</w:t>
            </w:r>
            <w:r>
              <w:rPr>
                <w:rStyle w:val="SourceText"/>
              </w:rPr>
              <w:t>build-studio-room-coworkers.ts</w:t>
            </w:r>
            <w:r>
              <w:rPr/>
              <w:t>), so the room's participant term applies to them as members (BI-00588B51).</w:t>
            </w:r>
          </w:p>
        </w:tc>
        <w:tc>
          <w:tcPr>
            <w:tcW w:w="6035" w:type="dxa"/>
            <w:tcBorders/>
            <w:vAlign w:val="center"/>
          </w:tcPr>
          <w:p>
            <w:pPr>
              <w:pStyle w:val="TableContents"/>
              <w:bidi w:val="0"/>
              <w:spacing w:before="0" w:after="283"/>
              <w:jc w:val="left"/>
              <w:rPr/>
            </w:pPr>
            <w:r>
              <w:rPr>
                <w:rStyle w:val="Strong"/>
              </w:rPr>
              <w:t>Per shape, resolved and guarded</w:t>
            </w:r>
            <w:r>
              <w:rPr/>
              <w:t xml:space="preserve"> for the delivery shapes. Standing-shape tokens outside the vocabulary remain dangling until their owners resolve them; the guard stops new ones.</w:t>
            </w:r>
          </w:p>
        </w:tc>
      </w:tr>
      <w:tr>
        <w:trPr/>
        <w:tc>
          <w:tcPr>
            <w:tcW w:w="3175" w:type="dxa"/>
            <w:tcBorders/>
            <w:vAlign w:val="center"/>
          </w:tcPr>
          <w:p>
            <w:pPr>
              <w:pStyle w:val="TableContents"/>
              <w:bidi w:val="0"/>
              <w:spacing w:before="0" w:after="283"/>
              <w:jc w:val="left"/>
              <w:rPr/>
            </w:pPr>
            <w:r>
              <w:rPr/>
              <w:t>Owning scope</w:t>
            </w:r>
          </w:p>
        </w:tc>
        <w:tc>
          <w:tcPr>
            <w:tcW w:w="37830" w:type="dxa"/>
            <w:tcBorders/>
            <w:vAlign w:val="center"/>
          </w:tcPr>
          <w:p>
            <w:pPr>
              <w:pStyle w:val="TableContents"/>
              <w:bidi w:val="0"/>
              <w:spacing w:before="0" w:after="283"/>
              <w:jc w:val="left"/>
              <w:rPr/>
            </w:pPr>
            <w:r>
              <w:rPr>
                <w:rStyle w:val="SourceText"/>
              </w:rPr>
              <w:t>Workroom.decisionScope</w:t>
            </w:r>
            <w:r>
              <w:rPr/>
              <w:t xml:space="preserve"> enum </w:t>
            </w:r>
            <w:r>
              <w:rPr>
                <w:rStyle w:val="SourceText"/>
              </w:rPr>
              <w:t>wwmd | wwwd | wsid</w:t>
            </w:r>
            <w:r>
              <w:rPr/>
              <w:t xml:space="preserve">; gate tools </w:t>
            </w:r>
            <w:r>
              <w:rPr>
                <w:rStyle w:val="SourceText"/>
              </w:rPr>
              <w:t>principle_decide</w:t>
            </w:r>
            <w:r>
              <w:rPr/>
              <w:t xml:space="preserve"> (WWMD), </w:t>
            </w:r>
            <w:r>
              <w:rPr>
                <w:rStyle w:val="SourceText"/>
              </w:rPr>
              <w:t>evaluate_org_business_decision</w:t>
            </w:r>
            <w:r>
              <w:rPr/>
              <w:t xml:space="preserve"> (WWWD), </w:t>
            </w:r>
            <w:r>
              <w:rPr>
                <w:rStyle w:val="SourceText"/>
              </w:rPr>
              <w:t>evaluate_profession_decision</w:t>
            </w:r>
            <w:r>
              <w:rPr/>
              <w:t xml:space="preserve"> (WSID)</w:t>
            </w:r>
          </w:p>
        </w:tc>
        <w:tc>
          <w:tcPr>
            <w:tcW w:w="6035" w:type="dxa"/>
            <w:tcBorders/>
            <w:vAlign w:val="center"/>
          </w:tcPr>
          <w:p>
            <w:pPr>
              <w:pStyle w:val="TableContents"/>
              <w:bidi w:val="0"/>
              <w:spacing w:before="0" w:after="283"/>
              <w:jc w:val="left"/>
              <w:rPr/>
            </w:pPr>
            <w:r>
              <w:rPr/>
              <w:t>Defined; scope per room, not per binding</w:t>
            </w:r>
          </w:p>
        </w:tc>
      </w:tr>
      <w:tr>
        <w:trPr/>
        <w:tc>
          <w:tcPr>
            <w:tcW w:w="3175" w:type="dxa"/>
            <w:tcBorders/>
            <w:vAlign w:val="center"/>
          </w:tcPr>
          <w:p>
            <w:pPr>
              <w:pStyle w:val="TableContents"/>
              <w:bidi w:val="0"/>
              <w:spacing w:before="0" w:after="283"/>
              <w:jc w:val="left"/>
              <w:rPr/>
            </w:pPr>
            <w:r>
              <w:rPr/>
              <w:t>Envelope narrowing</w:t>
            </w:r>
          </w:p>
        </w:tc>
        <w:tc>
          <w:tcPr>
            <w:tcW w:w="37830" w:type="dxa"/>
            <w:tcBorders/>
            <w:vAlign w:val="center"/>
          </w:tcPr>
          <w:p>
            <w:pPr>
              <w:pStyle w:val="TableContents"/>
              <w:bidi w:val="0"/>
              <w:spacing w:before="0" w:after="283"/>
              <w:jc w:val="left"/>
              <w:rPr/>
            </w:pPr>
            <w:r>
              <w:rPr>
                <w:rStyle w:val="SourceText"/>
              </w:rPr>
              <w:t>deriveRoomTurnAuthority</w:t>
            </w:r>
            <w:r>
              <w:rPr/>
              <w:t xml:space="preserve"> — agent grants ∩ user capability ∩ room grants; observers get the read baseline; room boundary </w:t>
            </w:r>
            <w:r>
              <w:rPr>
                <w:rStyle w:val="SourceText"/>
              </w:rPr>
              <w:t>advise | propose | preauthorized</w:t>
            </w:r>
          </w:p>
        </w:tc>
        <w:tc>
          <w:tcPr>
            <w:tcW w:w="6035" w:type="dxa"/>
            <w:tcBorders/>
            <w:vAlign w:val="center"/>
          </w:tcPr>
          <w:p>
            <w:pPr>
              <w:pStyle w:val="TableContents"/>
              <w:bidi w:val="0"/>
              <w:spacing w:before="0" w:after="283"/>
              <w:jc w:val="left"/>
              <w:rPr/>
            </w:pPr>
            <w:r>
              <w:rPr/>
              <w:t>Enforced</w:t>
            </w:r>
          </w:p>
        </w:tc>
      </w:tr>
      <w:tr>
        <w:trPr/>
        <w:tc>
          <w:tcPr>
            <w:tcW w:w="3175" w:type="dxa"/>
            <w:tcBorders/>
            <w:vAlign w:val="center"/>
          </w:tcPr>
          <w:p>
            <w:pPr>
              <w:pStyle w:val="TableContents"/>
              <w:bidi w:val="0"/>
              <w:spacing w:before="0" w:after="283"/>
              <w:jc w:val="left"/>
              <w:rPr/>
            </w:pPr>
            <w:r>
              <w:rPr/>
              <w:t>Effective permission (TAK)</w:t>
            </w:r>
          </w:p>
        </w:tc>
        <w:tc>
          <w:tcPr>
            <w:tcW w:w="37830" w:type="dxa"/>
            <w:tcBorders/>
            <w:vAlign w:val="center"/>
          </w:tcPr>
          <w:p>
            <w:pPr>
              <w:pStyle w:val="TableContents"/>
              <w:bidi w:val="0"/>
              <w:spacing w:before="0" w:after="283"/>
              <w:jc w:val="left"/>
              <w:rPr/>
            </w:pPr>
            <w:r>
              <w:rPr>
                <w:rStyle w:val="SourceText"/>
              </w:rPr>
              <w:t>getAvailableTools</w:t>
            </w:r>
            <w:r>
              <w:rPr/>
              <w:t xml:space="preserve"> (discovery) and </w:t>
            </w:r>
            <w:r>
              <w:rPr>
                <w:rStyle w:val="SourceText"/>
              </w:rPr>
              <w:t>governedExecuteTool</w:t>
            </w:r>
            <w:r>
              <w:rPr/>
              <w:t xml:space="preserve"> → </w:t>
            </w:r>
            <w:r>
              <w:rPr>
                <w:rStyle w:val="SourceText"/>
              </w:rPr>
              <w:t>evaluateCoworkerAuthority</w:t>
            </w:r>
            <w:r>
              <w:rPr/>
              <w:t xml:space="preserve"> deny-ladder (identity, capability, grant, room, delegation, route, subject, integration, sensitivity, policy version, escalation)</w:t>
            </w:r>
          </w:p>
        </w:tc>
        <w:tc>
          <w:tcPr>
            <w:tcW w:w="6035" w:type="dxa"/>
            <w:tcBorders/>
            <w:vAlign w:val="center"/>
          </w:tcPr>
          <w:p>
            <w:pPr>
              <w:pStyle w:val="TableContents"/>
              <w:bidi w:val="0"/>
              <w:spacing w:before="0" w:after="283"/>
              <w:jc w:val="left"/>
              <w:rPr/>
            </w:pPr>
            <w:r>
              <w:rPr/>
              <w:t>Enforced on the governed path</w:t>
            </w:r>
          </w:p>
        </w:tc>
      </w:tr>
      <w:tr>
        <w:trPr/>
        <w:tc>
          <w:tcPr>
            <w:tcW w:w="3175" w:type="dxa"/>
            <w:tcBorders/>
            <w:vAlign w:val="center"/>
          </w:tcPr>
          <w:p>
            <w:pPr>
              <w:pStyle w:val="TableContents"/>
              <w:bidi w:val="0"/>
              <w:spacing w:before="0" w:after="283"/>
              <w:jc w:val="left"/>
              <w:rPr/>
            </w:pPr>
            <w:r>
              <w:rPr/>
              <w:t>Token scope for external agents</w:t>
            </w:r>
          </w:p>
        </w:tc>
        <w:tc>
          <w:tcPr>
            <w:tcW w:w="37830" w:type="dxa"/>
            <w:tcBorders/>
            <w:vAlign w:val="center"/>
          </w:tcPr>
          <w:p>
            <w:pPr>
              <w:pStyle w:val="TableContents"/>
              <w:bidi w:val="0"/>
              <w:spacing w:before="0" w:after="283"/>
              <w:jc w:val="left"/>
              <w:rPr/>
            </w:pPr>
            <w:r>
              <w:rPr>
                <w:rStyle w:val="SourceText"/>
              </w:rPr>
              <w:t>requiredTokenScopeForTool</w:t>
            </w:r>
            <w:r>
              <w:rPr/>
              <w:t xml:space="preserve"> / </w:t>
            </w:r>
            <w:r>
              <w:rPr>
                <w:rStyle w:val="SourceText"/>
              </w:rPr>
              <w:t>tokenAdmitsTool</w:t>
            </w:r>
            <w:r>
              <w:rPr/>
              <w:t>; OAuth scopes map to granular grants; step-up challenge</w:t>
            </w:r>
          </w:p>
        </w:tc>
        <w:tc>
          <w:tcPr>
            <w:tcW w:w="6035" w:type="dxa"/>
            <w:tcBorders/>
            <w:vAlign w:val="center"/>
          </w:tcPr>
          <w:p>
            <w:pPr>
              <w:pStyle w:val="TableContents"/>
              <w:bidi w:val="0"/>
              <w:spacing w:before="0" w:after="283"/>
              <w:jc w:val="left"/>
              <w:rPr/>
            </w:pPr>
            <w:r>
              <w:rPr/>
              <w:t>Enforced</w:t>
            </w:r>
          </w:p>
        </w:tc>
      </w:tr>
      <w:tr>
        <w:trPr/>
        <w:tc>
          <w:tcPr>
            <w:tcW w:w="3175" w:type="dxa"/>
            <w:tcBorders/>
            <w:vAlign w:val="center"/>
          </w:tcPr>
          <w:p>
            <w:pPr>
              <w:pStyle w:val="TableContents"/>
              <w:bidi w:val="0"/>
              <w:spacing w:before="0" w:after="283"/>
              <w:jc w:val="left"/>
              <w:rPr/>
            </w:pPr>
            <w:r>
              <w:rPr/>
              <w:t>Tool consequence → collaboration shape</w:t>
            </w:r>
          </w:p>
        </w:tc>
        <w:tc>
          <w:tcPr>
            <w:tcW w:w="37830" w:type="dxa"/>
            <w:tcBorders/>
            <w:vAlign w:val="center"/>
          </w:tcPr>
          <w:p>
            <w:pPr>
              <w:pStyle w:val="TableContents"/>
              <w:bidi w:val="0"/>
              <w:spacing w:before="0" w:after="283"/>
              <w:jc w:val="left"/>
              <w:rPr/>
            </w:pPr>
            <w:r>
              <w:rPr>
                <w:rStyle w:val="SourceText"/>
              </w:rPr>
              <w:t>collaborationShapeForTool</w:t>
            </w:r>
            <w:r>
              <w:rPr/>
              <w:t xml:space="preserve"> (outward → outward-review; irreversible → change-consequential)</w:t>
            </w:r>
          </w:p>
        </w:tc>
        <w:tc>
          <w:tcPr>
            <w:tcW w:w="6035" w:type="dxa"/>
            <w:tcBorders/>
            <w:vAlign w:val="center"/>
          </w:tcPr>
          <w:p>
            <w:pPr>
              <w:pStyle w:val="TableContents"/>
              <w:bidi w:val="0"/>
              <w:spacing w:before="0" w:after="283"/>
              <w:jc w:val="left"/>
              <w:rPr/>
            </w:pPr>
            <w:r>
              <w:rPr/>
              <w:t>Defined</w:t>
            </w:r>
          </w:p>
        </w:tc>
      </w:tr>
      <w:tr>
        <w:trPr/>
        <w:tc>
          <w:tcPr>
            <w:tcW w:w="3175" w:type="dxa"/>
            <w:tcBorders/>
            <w:vAlign w:val="center"/>
          </w:tcPr>
          <w:p>
            <w:pPr>
              <w:pStyle w:val="TableContents"/>
              <w:bidi w:val="0"/>
              <w:spacing w:before="0" w:after="283"/>
              <w:jc w:val="left"/>
              <w:rPr/>
            </w:pPr>
            <w:r>
              <w:rPr/>
              <w:t>Shape gate on consequential calls</w:t>
            </w:r>
          </w:p>
        </w:tc>
        <w:tc>
          <w:tcPr>
            <w:tcW w:w="37830" w:type="dxa"/>
            <w:tcBorders/>
            <w:vAlign w:val="center"/>
          </w:tcPr>
          <w:p>
            <w:pPr>
              <w:pStyle w:val="TableContents"/>
              <w:bidi w:val="0"/>
              <w:spacing w:before="0" w:after="283"/>
              <w:jc w:val="left"/>
              <w:rPr/>
            </w:pPr>
            <w:r>
              <w:rPr>
                <w:rStyle w:val="SourceText"/>
              </w:rPr>
              <w:t>workroom-shape-governance-hook.ts</w:t>
            </w:r>
            <w:r>
              <w:rPr/>
              <w:t xml:space="preserve"> (BI-E0BFFF77)</w:t>
            </w:r>
          </w:p>
        </w:tc>
        <w:tc>
          <w:tcPr>
            <w:tcW w:w="6035" w:type="dxa"/>
            <w:tcBorders/>
            <w:vAlign w:val="center"/>
          </w:tcPr>
          <w:p>
            <w:pPr>
              <w:pStyle w:val="TableContents"/>
              <w:bidi w:val="0"/>
              <w:spacing w:before="0" w:after="283"/>
              <w:jc w:val="left"/>
              <w:rPr/>
            </w:pPr>
            <w:r>
              <w:rPr>
                <w:rStyle w:val="Strong"/>
              </w:rPr>
              <w:t>Shadow by default</w:t>
            </w:r>
            <w:r>
              <w:rPr/>
              <w:t xml:space="preserve"> (</w:t>
            </w:r>
            <w:r>
              <w:rPr>
                <w:rStyle w:val="SourceText"/>
              </w:rPr>
              <w:t>DPF_WORKROOM_GATE_MODE</w:t>
            </w:r>
            <w:r>
              <w:rPr/>
              <w:t>), audited as WorkroomActivity</w:t>
            </w:r>
          </w:p>
        </w:tc>
      </w:tr>
      <w:tr>
        <w:trPr/>
        <w:tc>
          <w:tcPr>
            <w:tcW w:w="3175" w:type="dxa"/>
            <w:tcBorders/>
            <w:vAlign w:val="center"/>
          </w:tcPr>
          <w:p>
            <w:pPr>
              <w:pStyle w:val="TableContents"/>
              <w:bidi w:val="0"/>
              <w:spacing w:before="0" w:after="283"/>
              <w:jc w:val="left"/>
              <w:rPr/>
            </w:pPr>
            <w:r>
              <w:rPr/>
              <w:t>WWWD × WSID alignment gate</w:t>
            </w:r>
          </w:p>
        </w:tc>
        <w:tc>
          <w:tcPr>
            <w:tcW w:w="37830" w:type="dxa"/>
            <w:tcBorders/>
            <w:vAlign w:val="center"/>
          </w:tcPr>
          <w:p>
            <w:pPr>
              <w:pStyle w:val="TableContents"/>
              <w:bidi w:val="0"/>
              <w:spacing w:before="0" w:after="283"/>
              <w:jc w:val="left"/>
              <w:rPr/>
            </w:pPr>
            <w:r>
              <w:rPr>
                <w:rStyle w:val="SourceText"/>
              </w:rPr>
              <w:t>tak/alignment-tool-gate.ts</w:t>
            </w:r>
            <w:r>
              <w:rPr/>
              <w:t xml:space="preserve">, </w:t>
            </w:r>
            <w:r>
              <w:rPr>
                <w:rStyle w:val="SourceText"/>
              </w:rPr>
              <w:t>alignment-specialist-delegation.ts</w:t>
            </w:r>
            <w:r>
              <w:rPr/>
              <w:t>; runs for every consequential tool inside a Workroom</w:t>
            </w:r>
          </w:p>
        </w:tc>
        <w:tc>
          <w:tcPr>
            <w:tcW w:w="6035" w:type="dxa"/>
            <w:tcBorders/>
            <w:vAlign w:val="center"/>
          </w:tcPr>
          <w:p>
            <w:pPr>
              <w:pStyle w:val="TableContents"/>
              <w:bidi w:val="0"/>
              <w:spacing w:before="0" w:after="283"/>
              <w:jc w:val="left"/>
              <w:rPr/>
            </w:pPr>
            <w:r>
              <w:rPr/>
              <w:t>Enforced (most-restrictive-wins)</w:t>
            </w:r>
          </w:p>
        </w:tc>
      </w:tr>
      <w:tr>
        <w:trPr/>
        <w:tc>
          <w:tcPr>
            <w:tcW w:w="3175" w:type="dxa"/>
            <w:tcBorders/>
            <w:vAlign w:val="center"/>
          </w:tcPr>
          <w:p>
            <w:pPr>
              <w:pStyle w:val="TableContents"/>
              <w:bidi w:val="0"/>
              <w:spacing w:before="0" w:after="283"/>
              <w:jc w:val="left"/>
              <w:rPr/>
            </w:pPr>
            <w:r>
              <w:rPr/>
              <w:t>Escalation gate</w:t>
            </w:r>
          </w:p>
        </w:tc>
        <w:tc>
          <w:tcPr>
            <w:tcW w:w="37830" w:type="dxa"/>
            <w:tcBorders/>
            <w:vAlign w:val="center"/>
          </w:tcPr>
          <w:p>
            <w:pPr>
              <w:pStyle w:val="TableContents"/>
              <w:bidi w:val="0"/>
              <w:spacing w:before="0" w:after="283"/>
              <w:jc w:val="left"/>
              <w:rPr/>
            </w:pPr>
            <w:r>
              <w:rPr>
                <w:rStyle w:val="SourceText"/>
              </w:rPr>
              <w:t>govern/authority/escalation-gate.ts</w:t>
            </w:r>
            <w:r>
              <w:rPr/>
              <w:t xml:space="preserve"> — damaging → human; steered → automated</w:t>
            </w:r>
          </w:p>
        </w:tc>
        <w:tc>
          <w:tcPr>
            <w:tcW w:w="6035" w:type="dxa"/>
            <w:tcBorders/>
            <w:vAlign w:val="center"/>
          </w:tcPr>
          <w:p>
            <w:pPr>
              <w:pStyle w:val="TableContents"/>
              <w:bidi w:val="0"/>
              <w:spacing w:before="0" w:after="283"/>
              <w:jc w:val="left"/>
              <w:rPr/>
            </w:pPr>
            <w:r>
              <w:rPr/>
              <w:t>Enforced</w:t>
            </w:r>
          </w:p>
        </w:tc>
      </w:tr>
      <w:tr>
        <w:trPr/>
        <w:tc>
          <w:tcPr>
            <w:tcW w:w="3175" w:type="dxa"/>
            <w:tcBorders/>
            <w:vAlign w:val="center"/>
          </w:tcPr>
          <w:p>
            <w:pPr>
              <w:pStyle w:val="TableContents"/>
              <w:bidi w:val="0"/>
              <w:spacing w:before="0" w:after="283"/>
              <w:jc w:val="left"/>
              <w:rPr/>
            </w:pPr>
            <w:r>
              <w:rPr/>
              <w:t>Gate decision → exact-action authorization</w:t>
            </w:r>
          </w:p>
        </w:tc>
        <w:tc>
          <w:tcPr>
            <w:tcW w:w="37830" w:type="dxa"/>
            <w:tcBorders/>
            <w:vAlign w:val="center"/>
          </w:tcPr>
          <w:p>
            <w:pPr>
              <w:pStyle w:val="TableContents"/>
              <w:bidi w:val="0"/>
              <w:spacing w:before="0" w:after="283"/>
              <w:jc w:val="left"/>
              <w:rPr/>
            </w:pPr>
            <w:r>
              <w:rPr>
                <w:rStyle w:val="SourceText"/>
              </w:rPr>
              <w:t>policy-authority-projector.ts</w:t>
            </w:r>
            <w:r>
              <w:rPr/>
              <w:t xml:space="preserve">, </w:t>
            </w:r>
            <w:r>
              <w:rPr>
                <w:rStyle w:val="SourceText"/>
              </w:rPr>
              <w:t>resolve-policy-action-authority.ts</w:t>
            </w:r>
            <w:r>
              <w:rPr/>
              <w:t xml:space="preserve"> — a sealed WWMD/WWWD/WSID judgment becomes a single-use, time-bound authorization</w:t>
            </w:r>
          </w:p>
        </w:tc>
        <w:tc>
          <w:tcPr>
            <w:tcW w:w="6035" w:type="dxa"/>
            <w:tcBorders/>
            <w:vAlign w:val="center"/>
          </w:tcPr>
          <w:p>
            <w:pPr>
              <w:pStyle w:val="TableContents"/>
              <w:bidi w:val="0"/>
              <w:spacing w:before="0" w:after="283"/>
              <w:jc w:val="left"/>
              <w:rPr/>
            </w:pPr>
            <w:r>
              <w:rPr>
                <w:rStyle w:val="Strong"/>
              </w:rPr>
              <w:t>11 tools only</w:t>
            </w:r>
            <w:r>
              <w:rPr/>
              <w:t xml:space="preserve"> (</w:t>
            </w:r>
            <w:r>
              <w:rPr>
                <w:rStyle w:val="SourceText"/>
              </w:rPr>
              <w:t>PROJECTABLE_ACTIONS</w:t>
            </w:r>
            <w:r>
              <w:rPr/>
              <w:t>)</w:t>
            </w:r>
          </w:p>
        </w:tc>
      </w:tr>
      <w:tr>
        <w:trPr/>
        <w:tc>
          <w:tcPr>
            <w:tcW w:w="3175" w:type="dxa"/>
            <w:tcBorders/>
            <w:vAlign w:val="center"/>
          </w:tcPr>
          <w:p>
            <w:pPr>
              <w:pStyle w:val="TableContents"/>
              <w:bidi w:val="0"/>
              <w:spacing w:before="0" w:after="283"/>
              <w:jc w:val="left"/>
              <w:rPr/>
            </w:pPr>
            <w:r>
              <w:rPr/>
              <w:t>Required-approver enforcement</w:t>
            </w:r>
          </w:p>
        </w:tc>
        <w:tc>
          <w:tcPr>
            <w:tcW w:w="37830" w:type="dxa"/>
            <w:tcBorders/>
            <w:vAlign w:val="center"/>
          </w:tcPr>
          <w:p>
            <w:pPr>
              <w:pStyle w:val="TableContents"/>
              <w:bidi w:val="0"/>
              <w:spacing w:before="0" w:after="283"/>
              <w:jc w:val="left"/>
              <w:rPr/>
            </w:pPr>
            <w:r>
              <w:rPr>
                <w:rStyle w:val="SourceText"/>
              </w:rPr>
              <w:t>required-approvers.ts</w:t>
            </w:r>
            <w:r>
              <w:rPr/>
              <w:t xml:space="preserve"> computes who must approve</w:t>
            </w:r>
          </w:p>
        </w:tc>
        <w:tc>
          <w:tcPr>
            <w:tcW w:w="6035" w:type="dxa"/>
            <w:tcBorders/>
            <w:vAlign w:val="center"/>
          </w:tcPr>
          <w:p>
            <w:pPr>
              <w:pStyle w:val="TableContents"/>
              <w:bidi w:val="0"/>
              <w:spacing w:before="0" w:after="283"/>
              <w:jc w:val="left"/>
              <w:rPr/>
            </w:pPr>
            <w:r>
              <w:rPr/>
              <w:t>Not wired to an enforcement point (BI-F9ED8151)</w:t>
            </w:r>
          </w:p>
        </w:tc>
      </w:tr>
      <w:tr>
        <w:trPr/>
        <w:tc>
          <w:tcPr>
            <w:tcW w:w="3175" w:type="dxa"/>
            <w:tcBorders/>
            <w:vAlign w:val="center"/>
          </w:tcPr>
          <w:p>
            <w:pPr>
              <w:pStyle w:val="TableContents"/>
              <w:bidi w:val="0"/>
              <w:spacing w:before="0" w:after="283"/>
              <w:jc w:val="left"/>
              <w:rPr/>
            </w:pPr>
            <w:r>
              <w:rPr/>
              <w:t>Qualification precondition</w:t>
            </w:r>
          </w:p>
        </w:tc>
        <w:tc>
          <w:tcPr>
            <w:tcW w:w="37830" w:type="dxa"/>
            <w:tcBorders/>
            <w:vAlign w:val="center"/>
          </w:tcPr>
          <w:p>
            <w:pPr>
              <w:pStyle w:val="TableContents"/>
              <w:bidi w:val="0"/>
              <w:spacing w:before="0" w:after="283"/>
              <w:jc w:val="left"/>
              <w:rPr/>
            </w:pPr>
            <w:r>
              <w:rPr>
                <w:rStyle w:val="SourceText"/>
              </w:rPr>
              <w:t>coordinator-eligibility.ts</w:t>
            </w:r>
          </w:p>
        </w:tc>
        <w:tc>
          <w:tcPr>
            <w:tcW w:w="6035" w:type="dxa"/>
            <w:tcBorders/>
            <w:vAlign w:val="center"/>
          </w:tcPr>
          <w:p>
            <w:pPr>
              <w:pStyle w:val="TableContents"/>
              <w:bidi w:val="0"/>
              <w:spacing w:before="0" w:after="283"/>
              <w:jc w:val="left"/>
              <w:rPr/>
            </w:pPr>
            <w:r>
              <w:rPr/>
              <w:t>No JSI qualification table; returns not-applicable</w:t>
            </w:r>
          </w:p>
        </w:tc>
      </w:tr>
      <w:tr>
        <w:trPr/>
        <w:tc>
          <w:tcPr>
            <w:tcW w:w="3175" w:type="dxa"/>
            <w:tcBorders/>
            <w:vAlign w:val="center"/>
          </w:tcPr>
          <w:p>
            <w:pPr>
              <w:pStyle w:val="TableContents"/>
              <w:bidi w:val="0"/>
              <w:spacing w:before="0" w:after="283"/>
              <w:jc w:val="left"/>
              <w:rPr/>
            </w:pPr>
            <w:r>
              <w:rPr/>
              <w:t>Receipts</w:t>
            </w:r>
          </w:p>
        </w:tc>
        <w:tc>
          <w:tcPr>
            <w:tcW w:w="37830" w:type="dxa"/>
            <w:tcBorders/>
            <w:vAlign w:val="center"/>
          </w:tcPr>
          <w:p>
            <w:pPr>
              <w:pStyle w:val="TableContents"/>
              <w:bidi w:val="0"/>
              <w:spacing w:before="0" w:after="283"/>
              <w:jc w:val="left"/>
              <w:rPr/>
            </w:pPr>
            <w:r>
              <w:rPr>
                <w:rStyle w:val="SourceText"/>
              </w:rPr>
              <w:t>ToolExecutionReceipt</w:t>
            </w:r>
            <w:r>
              <w:rPr/>
              <w:t>, GAID actor envelope, mandatory receipt reservation for consequential calls</w:t>
            </w:r>
          </w:p>
        </w:tc>
        <w:tc>
          <w:tcPr>
            <w:tcW w:w="6035" w:type="dxa"/>
            <w:tcBorders/>
            <w:vAlign w:val="center"/>
          </w:tcPr>
          <w:p>
            <w:pPr>
              <w:pStyle w:val="TableContents"/>
              <w:bidi w:val="0"/>
              <w:spacing w:before="0" w:after="283"/>
              <w:jc w:val="left"/>
              <w:rPr/>
            </w:pPr>
            <w:r>
              <w:rPr/>
              <w:t>Enforced on the governed path</w:t>
            </w:r>
          </w:p>
        </w:tc>
      </w:tr>
      <w:tr>
        <w:trPr/>
        <w:tc>
          <w:tcPr>
            <w:tcW w:w="3175" w:type="dxa"/>
            <w:tcBorders/>
            <w:vAlign w:val="center"/>
          </w:tcPr>
          <w:p>
            <w:pPr>
              <w:pStyle w:val="TableContents"/>
              <w:bidi w:val="0"/>
              <w:spacing w:before="0" w:after="283"/>
              <w:jc w:val="left"/>
              <w:rPr/>
            </w:pPr>
            <w:r>
              <w:rPr/>
              <w:t>Critical-interaction map (Phase 1)</w:t>
            </w:r>
          </w:p>
        </w:tc>
        <w:tc>
          <w:tcPr>
            <w:tcW w:w="37830" w:type="dxa"/>
            <w:tcBorders/>
            <w:vAlign w:val="center"/>
          </w:tcPr>
          <w:p>
            <w:pPr>
              <w:pStyle w:val="TableContents"/>
              <w:bidi w:val="0"/>
              <w:spacing w:before="0" w:after="283"/>
              <w:jc w:val="left"/>
              <w:rPr/>
            </w:pPr>
            <w:r>
              <w:rPr>
                <w:rStyle w:val="SourceText"/>
              </w:rPr>
              <w:t>apps/web/scripts/gpp-critical-interaction-map.ts</w:t>
            </w:r>
            <w:r>
              <w:rPr/>
              <w:t xml:space="preserve"> over </w:t>
            </w:r>
            <w:r>
              <w:rPr>
                <w:rStyle w:val="SourceText"/>
              </w:rPr>
              <w:t>lib/gpp/critical-interaction-map.ts</w:t>
            </w:r>
            <w:r>
              <w:rPr/>
              <w:t>. For every tool it shows: consequence class; grants and holders; alignment, escalation, projector, shape-gate and (since Phase 2) permit modes, taken from the runtime classifier, gate-mode resolver and binding table; and direct call sites. On 2026-10-01 it reported 436 tools: 246 side-effecting, 65 critical, 183 side-effecting with no consequence class, and 28 direct call sites (4 with a dynamic tool name).</w:t>
            </w:r>
          </w:p>
        </w:tc>
        <w:tc>
          <w:tcPr>
            <w:tcW w:w="6035" w:type="dxa"/>
            <w:tcBorders/>
            <w:vAlign w:val="center"/>
          </w:tcPr>
          <w:p>
            <w:pPr>
              <w:pStyle w:val="TableContents"/>
              <w:bidi w:val="0"/>
              <w:spacing w:before="0" w:after="283"/>
              <w:jc w:val="left"/>
              <w:rPr/>
            </w:pPr>
            <w:r>
              <w:rPr/>
              <w:t>On demand; not a CI gate</w:t>
            </w:r>
          </w:p>
        </w:tc>
      </w:tr>
      <w:tr>
        <w:trPr/>
        <w:tc>
          <w:tcPr>
            <w:tcW w:w="3175" w:type="dxa"/>
            <w:tcBorders/>
            <w:vAlign w:val="center"/>
          </w:tcPr>
          <w:p>
            <w:pPr>
              <w:pStyle w:val="TableContents"/>
              <w:bidi w:val="0"/>
              <w:spacing w:before="0" w:after="283"/>
              <w:jc w:val="left"/>
              <w:rPr/>
            </w:pPr>
            <w:r>
              <w:rPr/>
              <w:t>Consequence-classification ratchet (Phase 1)</w:t>
            </w:r>
          </w:p>
        </w:tc>
        <w:tc>
          <w:tcPr>
            <w:tcW w:w="37830" w:type="dxa"/>
            <w:tcBorders/>
            <w:vAlign w:val="center"/>
          </w:tcPr>
          <w:p>
            <w:pPr>
              <w:pStyle w:val="TableContents"/>
              <w:bidi w:val="0"/>
              <w:spacing w:before="0" w:after="283"/>
              <w:jc w:val="left"/>
              <w:rPr/>
            </w:pPr>
            <w:r>
              <w:rPr>
                <w:rStyle w:val="SourceText"/>
              </w:rPr>
              <w:t>lib/gpp/consequence-classification-ratchet.test.ts</w:t>
            </w:r>
            <w:r>
              <w:rPr/>
              <w:t xml:space="preserve"> with the shrink-only </w:t>
            </w:r>
            <w:r>
              <w:rPr>
                <w:rStyle w:val="SourceText"/>
              </w:rPr>
              <w:t>KNOWN_UNCLASSIFIED_SIDE_EFFECT_TOOLS</w:t>
            </w:r>
            <w:r>
              <w:rPr/>
              <w:t xml:space="preserve"> (183 entries)</w:t>
            </w:r>
          </w:p>
        </w:tc>
        <w:tc>
          <w:tcPr>
            <w:tcW w:w="6035" w:type="dxa"/>
            <w:tcBorders/>
            <w:vAlign w:val="center"/>
          </w:tcPr>
          <w:p>
            <w:pPr>
              <w:pStyle w:val="TableContents"/>
              <w:bidi w:val="0"/>
              <w:spacing w:before="0" w:after="283"/>
              <w:jc w:val="left"/>
              <w:rPr/>
            </w:pPr>
            <w:r>
              <w:rPr>
                <w:rStyle w:val="Strong"/>
              </w:rPr>
              <w:t>Enforced in CI</w:t>
            </w:r>
            <w:r>
              <w:rPr/>
              <w:t xml:space="preserve"> for new tools only. Existing gaps are listed, not fixed.</w:t>
            </w:r>
          </w:p>
        </w:tc>
      </w:tr>
      <w:tr>
        <w:trPr/>
        <w:tc>
          <w:tcPr>
            <w:tcW w:w="3175" w:type="dxa"/>
            <w:tcBorders/>
            <w:vAlign w:val="center"/>
          </w:tcPr>
          <w:p>
            <w:pPr>
              <w:pStyle w:val="TableContents"/>
              <w:bidi w:val="0"/>
              <w:spacing w:before="0" w:after="283"/>
              <w:jc w:val="left"/>
              <w:rPr/>
            </w:pPr>
            <w:r>
              <w:rPr/>
              <w:t>Unmediated-reach ratchet, C-9 (Phase 1)</w:t>
            </w:r>
          </w:p>
        </w:tc>
        <w:tc>
          <w:tcPr>
            <w:tcW w:w="37830" w:type="dxa"/>
            <w:tcBorders/>
            <w:vAlign w:val="center"/>
          </w:tcPr>
          <w:p>
            <w:pPr>
              <w:pStyle w:val="TableContents"/>
              <w:bidi w:val="0"/>
              <w:spacing w:before="0" w:after="283"/>
              <w:jc w:val="left"/>
              <w:rPr/>
            </w:pPr>
            <w:r>
              <w:rPr>
                <w:rStyle w:val="SourceText"/>
              </w:rPr>
              <w:t>lib/gpp/unmediated-reach-ratchet.test.ts</w:t>
            </w:r>
            <w:r>
              <w:rPr/>
              <w:t xml:space="preserve"> with the per-file, shrink-only </w:t>
            </w:r>
            <w:r>
              <w:rPr>
                <w:rStyle w:val="SourceText"/>
              </w:rPr>
              <w:t>KNOWN_UNMEDIATED_EXECUTE_SITES</w:t>
            </w:r>
            <w:r>
              <w:rPr/>
              <w:t xml:space="preserve"> (26 sites, 13 files since Phase 2 PR-H). The same test pins the dynamic-name sites to exactly two</w:t>
            </w:r>
          </w:p>
        </w:tc>
        <w:tc>
          <w:tcPr>
            <w:tcW w:w="6035" w:type="dxa"/>
            <w:tcBorders/>
            <w:vAlign w:val="center"/>
          </w:tcPr>
          <w:p>
            <w:pPr>
              <w:pStyle w:val="TableContents"/>
              <w:bidi w:val="0"/>
              <w:spacing w:before="0" w:after="283"/>
              <w:jc w:val="left"/>
              <w:rPr/>
            </w:pPr>
            <w:r>
              <w:rPr>
                <w:rStyle w:val="Strong"/>
              </w:rPr>
              <w:t>Enforced in CI</w:t>
            </w:r>
            <w:r>
              <w:rPr/>
              <w:t xml:space="preserve"> for new paths only. Existing paths, including Build Studio's pipeline, are allowlisted, not routed. PR-H routed two of the four dynamic sites, </w:t>
            </w:r>
            <w:r>
              <w:rPr>
                <w:rStyle w:val="SourceText"/>
              </w:rPr>
              <w:t>/ops/demand</w:t>
            </w:r>
            <w:r>
              <w:rPr/>
              <w:t xml:space="preserve"> actions and </w:t>
            </w:r>
            <w:r>
              <w:rPr>
                <w:rStyle w:val="SourceText"/>
              </w:rPr>
              <w:t>screen_dispatch_action</w:t>
            </w:r>
            <w:r>
              <w:rPr/>
              <w:t>, through the monitor. The two proposal-approval paths stay direct until an approved proposal reaches the monitor as an approved authority envelope.</w:t>
            </w:r>
          </w:p>
        </w:tc>
      </w:tr>
      <w:tr>
        <w:trPr/>
        <w:tc>
          <w:tcPr>
            <w:tcW w:w="3175" w:type="dxa"/>
            <w:tcBorders/>
            <w:vAlign w:val="center"/>
          </w:tcPr>
          <w:p>
            <w:pPr>
              <w:pStyle w:val="TableContents"/>
              <w:bidi w:val="0"/>
              <w:spacing w:before="0" w:after="283"/>
              <w:jc w:val="left"/>
              <w:rPr/>
            </w:pPr>
            <w:r>
              <w:rPr/>
              <w:t>Permit (Phase 2)</w:t>
            </w:r>
          </w:p>
        </w:tc>
        <w:tc>
          <w:tcPr>
            <w:tcW w:w="37830" w:type="dxa"/>
            <w:tcBorders/>
            <w:vAlign w:val="center"/>
          </w:tcPr>
          <w:p>
            <w:pPr>
              <w:pStyle w:val="TableContents"/>
              <w:bidi w:val="0"/>
              <w:spacing w:before="0" w:after="283"/>
              <w:jc w:val="left"/>
              <w:rPr/>
            </w:pPr>
            <w:r>
              <w:rPr>
                <w:rStyle w:val="SourceText"/>
              </w:rPr>
              <w:t>GppPermit</w:t>
            </w:r>
            <w:r>
              <w:rPr/>
              <w:t xml:space="preserve"> and </w:t>
            </w:r>
            <w:r>
              <w:rPr>
                <w:rStyle w:val="SourceText"/>
              </w:rPr>
              <w:t>GppPermitObservation</w:t>
            </w:r>
            <w:r>
              <w:rPr/>
              <w:t xml:space="preserve"> (</w:t>
            </w:r>
            <w:r>
              <w:rPr>
                <w:rStyle w:val="SourceText"/>
              </w:rPr>
              <w:t>packages/db/prisma/schema/ai-coworker.prisma</w:t>
            </w:r>
            <w:r>
              <w:rPr/>
              <w:t xml:space="preserve">); hand-declared bindings </w:t>
            </w:r>
            <w:r>
              <w:rPr>
                <w:rStyle w:val="SourceText"/>
              </w:rPr>
              <w:t>tak-alignment-admit@1</w:t>
            </w:r>
            <w:r>
              <w:rPr/>
              <w:t xml:space="preserve"> and </w:t>
            </w:r>
            <w:r>
              <w:rPr>
                <w:rStyle w:val="SourceText"/>
              </w:rPr>
              <w:t>human-checkpoint-admit@1</w:t>
            </w:r>
            <w:r>
              <w:rPr/>
              <w:t xml:space="preserve"> in </w:t>
            </w:r>
            <w:r>
              <w:rPr>
                <w:rStyle w:val="SourceText"/>
              </w:rPr>
              <w:t>apps/web/lib/gpp/bindings.ts</w:t>
            </w:r>
            <w:r>
              <w:rPr/>
              <w:t xml:space="preserve">; minting in </w:t>
            </w:r>
            <w:r>
              <w:rPr>
                <w:rStyle w:val="SourceText"/>
              </w:rPr>
              <w:t>lib/gpp/permit-mint.ts</w:t>
            </w:r>
            <w:r>
              <w:rPr/>
              <w:t xml:space="preserve">; verdicts in </w:t>
            </w:r>
            <w:r>
              <w:rPr>
                <w:rStyle w:val="SourceText"/>
              </w:rPr>
              <w:t>lib/gpp/permit-verdict.ts</w:t>
            </w:r>
            <w:r>
              <w:rPr/>
              <w:t xml:space="preserve">. When the alignment gate approves, or an approved human checkpoint admits, an outward, authority or irreversible call in </w:t>
            </w:r>
            <w:r>
              <w:rPr>
                <w:rStyle w:val="SourceText"/>
              </w:rPr>
              <w:t>governedExecuteTool</w:t>
            </w:r>
            <w:r>
              <w:rPr/>
              <w:t>, a single-use, 15-minute permit is minted. The monitor records one verdict per such call (</w:t>
            </w:r>
            <w:r>
              <w:rPr>
                <w:rStyle w:val="SourceText"/>
              </w:rPr>
              <w:t>ungoverned</w:t>
            </w:r>
            <w:r>
              <w:rPr/>
              <w:t xml:space="preserve">, </w:t>
            </w:r>
            <w:r>
              <w:rPr>
                <w:rStyle w:val="SourceText"/>
              </w:rPr>
              <w:t>valid</w:t>
            </w:r>
            <w:r>
              <w:rPr/>
              <w:t xml:space="preserve">, </w:t>
            </w:r>
            <w:r>
              <w:rPr>
                <w:rStyle w:val="SourceText"/>
              </w:rPr>
              <w:t>absent</w:t>
            </w:r>
            <w:r>
              <w:rPr/>
              <w:t xml:space="preserve">, </w:t>
            </w:r>
            <w:r>
              <w:rPr>
                <w:rStyle w:val="SourceText"/>
              </w:rPr>
              <w:t>expired</w:t>
            </w:r>
            <w:r>
              <w:rPr/>
              <w:t xml:space="preserve">, </w:t>
            </w:r>
            <w:r>
              <w:rPr>
                <w:rStyle w:val="SourceText"/>
              </w:rPr>
              <w:t>revoked</w:t>
            </w:r>
            <w:r>
              <w:rPr/>
              <w:t xml:space="preserve">, </w:t>
            </w:r>
            <w:r>
              <w:rPr>
                <w:rStyle w:val="SourceText"/>
              </w:rPr>
              <w:t>exhausted</w:t>
            </w:r>
            <w:r>
              <w:rPr/>
              <w:t xml:space="preserve">, </w:t>
            </w:r>
            <w:r>
              <w:rPr>
                <w:rStyle w:val="SourceText"/>
              </w:rPr>
              <w:t>tool_not_in_capabilities</w:t>
            </w:r>
            <w:r>
              <w:rPr/>
              <w:t xml:space="preserve">). It writes the verdict and the cited permit onto </w:t>
            </w:r>
            <w:r>
              <w:rPr>
                <w:rStyle w:val="SourceText"/>
              </w:rPr>
              <w:t>ToolExecution.gppPermitVerdict</w:t>
            </w:r>
            <w:r>
              <w:rPr/>
              <w:t xml:space="preserve"> and </w:t>
            </w:r>
            <w:r>
              <w:rPr>
                <w:rStyle w:val="SourceText"/>
              </w:rPr>
              <w:t>gppPermitRef</w:t>
            </w:r>
            <w:r>
              <w:rPr/>
              <w:t xml:space="preserve">, and forwards the permit id to the handler. A direct </w:t>
            </w:r>
            <w:r>
              <w:rPr>
                <w:rStyle w:val="SourceText"/>
              </w:rPr>
              <w:t>executeTool</w:t>
            </w:r>
            <w:r>
              <w:rPr/>
              <w:t xml:space="preserve"> call to such a tool records </w:t>
            </w:r>
            <w:r>
              <w:rPr>
                <w:rStyle w:val="SourceText"/>
              </w:rPr>
              <w:t>unmediated</w:t>
            </w:r>
            <w:r>
              <w:rPr/>
              <w:t xml:space="preserve">. MCP clients can replay a handle in </w:t>
            </w:r>
            <w:r>
              <w:rPr>
                <w:rStyle w:val="SourceText"/>
              </w:rPr>
              <w:t>tools/call</w:t>
            </w:r>
            <w:r>
              <w:rPr/>
              <w:t xml:space="preserve"> </w:t>
            </w:r>
            <w:r>
              <w:rPr>
                <w:rStyle w:val="SourceText"/>
              </w:rPr>
              <w:t>params._meta["com.opendigitalproductfactory/authorization-handle"]</w:t>
            </w:r>
            <w:r>
              <w:rPr/>
              <w:t xml:space="preserve">. The permit stays a DB-backed row (DI-2DE3951FBB28). Since PR-D its handle is </w:t>
            </w:r>
            <w:r>
              <w:rPr>
                <w:rStyle w:val="SourceText"/>
              </w:rPr>
              <w:t>gpp1.&lt;permitId&gt;.&lt;keyId&gt;.&lt;mac&gt;</w:t>
            </w:r>
            <w:r>
              <w:rPr/>
              <w:t>: an HMAC-SHA256 over the canonical claims (</w:t>
            </w:r>
            <w:r>
              <w:rPr>
                <w:rStyle w:val="SourceText"/>
              </w:rPr>
              <w:t>lib/gpp/permit-handle.ts</w:t>
            </w:r>
            <w:r>
              <w:rPr/>
              <w:t xml:space="preserve">), and the claims bind </w:t>
            </w:r>
            <w:r>
              <w:rPr>
                <w:rStyle w:val="SourceText"/>
              </w:rPr>
              <w:t>paramHash</w:t>
            </w:r>
            <w:r>
              <w:rPr/>
              <w:t xml:space="preserve">, the SHA-256 of the exact call's canonical </w:t>
            </w:r>
            <w:r>
              <w:rPr>
                <w:rStyle w:val="SourceText"/>
              </w:rPr>
              <w:t>{ tool, params }</w:t>
            </w:r>
            <w:r>
              <w:rPr/>
              <w:t xml:space="preserve"> (</w:t>
            </w:r>
            <w:r>
              <w:rPr>
                <w:rStyle w:val="SourceText"/>
              </w:rPr>
              <w:t>lib/gpp/param-hash.ts</w:t>
            </w:r>
            <w:r>
              <w:rPr/>
              <w:t>). Before the checks above, the monitor verifies the MAC (</w:t>
            </w:r>
            <w:r>
              <w:rPr>
                <w:rStyle w:val="SourceText"/>
              </w:rPr>
              <w:t>mac_invalid</w:t>
            </w:r>
            <w:r>
              <w:rPr/>
              <w:t xml:space="preserve"> for an edited or invented row; </w:t>
            </w:r>
            <w:r>
              <w:rPr>
                <w:rStyle w:val="SourceText"/>
              </w:rPr>
              <w:t>unsigned</w:t>
            </w:r>
            <w:r>
              <w:rPr/>
              <w:t xml:space="preserve"> when the install has no </w:t>
            </w:r>
            <w:r>
              <w:rPr>
                <w:rStyle w:val="SourceText"/>
              </w:rPr>
              <w:t>DPF_GPP_PERMIT_SECRET</w:t>
            </w:r>
            <w:r>
              <w:rPr/>
              <w:t>), the parameters (</w:t>
            </w:r>
            <w:r>
              <w:rPr>
                <w:rStyle w:val="SourceText"/>
              </w:rPr>
              <w:t>param_mismatch</w:t>
            </w:r>
            <w:r>
              <w:rPr/>
              <w:t xml:space="preserve"> for a handle replayed with other arguments) and the lineage of the admitting decision (</w:t>
            </w:r>
            <w:r>
              <w:rPr>
                <w:rStyle w:val="SourceText"/>
              </w:rPr>
              <w:t>lineage_missing</w:t>
            </w:r>
            <w:r>
              <w:rPr/>
              <w:t xml:space="preserve">; </w:t>
            </w:r>
            <w:r>
              <w:rPr>
                <w:rStyle w:val="SourceText"/>
              </w:rPr>
              <w:t>lineage_unsealed</w:t>
            </w:r>
            <w:r>
              <w:rPr/>
              <w:t xml:space="preserve"> when the </w:t>
            </w:r>
            <w:r>
              <w:rPr>
                <w:rStyle w:val="SourceText"/>
              </w:rPr>
              <w:t>DecisionInteraction</w:t>
            </w:r>
            <w:r>
              <w:rPr/>
              <w:t xml:space="preserve"> is not sealed, or when the lineage is an </w:t>
            </w:r>
            <w:r>
              <w:rPr>
                <w:rStyle w:val="SourceText"/>
              </w:rPr>
              <w:t>AuthorizationDecisionLog</w:t>
            </w:r>
            <w:r>
              <w:rPr/>
              <w:t xml:space="preserve">, which is not hash-chained). It records the first failing check as the verdict and every check in the observation's </w:t>
            </w:r>
            <w:r>
              <w:rPr>
                <w:rStyle w:val="SourceText"/>
              </w:rPr>
              <w:t>detail.checks</w:t>
            </w:r>
            <w:r>
              <w:rPr/>
              <w:t xml:space="preserve">. The monitor returns the minted handle on </w:t>
            </w:r>
            <w:r>
              <w:rPr>
                <w:rStyle w:val="SourceText"/>
              </w:rPr>
              <w:t>governance.permit</w:t>
            </w:r>
            <w:r>
              <w:rPr/>
              <w:t xml:space="preserve">; the handler and the audit row get only the permit id. Since PR-G the MCP route returns that handle and its expiry on the </w:t>
            </w:r>
            <w:r>
              <w:rPr>
                <w:rStyle w:val="SourceText"/>
              </w:rPr>
              <w:t>tools/call</w:t>
            </w:r>
            <w:r>
              <w:rPr/>
              <w:t xml:space="preserve"> result's </w:t>
            </w:r>
            <w:r>
              <w:rPr>
                <w:rStyle w:val="SourceText"/>
              </w:rPr>
              <w:t>_meta["com.opendigitalproductfactory/authorization-handle"]</w:t>
            </w:r>
            <w:r>
              <w:rPr/>
              <w:t xml:space="preserve">, a </w:t>
            </w:r>
            <w:r>
              <w:rPr>
                <w:rStyle w:val="SourceText"/>
              </w:rPr>
              <w:t>permit_required</w:t>
            </w:r>
            <w:r>
              <w:rPr/>
              <w:t xml:space="preserve"> refusal's denial envelope also travels on </w:t>
            </w:r>
            <w:r>
              <w:rPr>
                <w:rStyle w:val="SourceText"/>
              </w:rPr>
              <w:t>_meta["io.modelcontextprotocol/authorization"]</w:t>
            </w:r>
            <w:r>
              <w:rPr/>
              <w:t xml:space="preserve">, and a permit's use is taken by one conditional update that is part of the verdict, so of two concurrent presentations of a single-use handle exactly one is </w:t>
            </w:r>
            <w:r>
              <w:rPr>
                <w:rStyle w:val="SourceText"/>
              </w:rPr>
              <w:t>valid</w:t>
            </w:r>
            <w:r>
              <w:rPr/>
              <w:t xml:space="preserve"> and the other </w:t>
            </w:r>
            <w:r>
              <w:rPr>
                <w:rStyle w:val="SourceText"/>
              </w:rPr>
              <w:t>exhausted</w:t>
            </w:r>
            <w:r>
              <w:rPr/>
              <w:t xml:space="preserve">. The key has no fallback, to </w:t>
            </w:r>
            <w:r>
              <w:rPr>
                <w:rStyle w:val="SourceText"/>
              </w:rPr>
              <w:t>AUTH_SECRET</w:t>
            </w:r>
            <w:r>
              <w:rPr/>
              <w:t xml:space="preserve"> or anything else, and no installer provisions it yet, so an install without it records </w:t>
            </w:r>
            <w:r>
              <w:rPr>
                <w:rStyle w:val="SourceText"/>
              </w:rPr>
              <w:t>unsigned</w:t>
            </w:r>
            <w:r>
              <w:rPr/>
              <w:t>. Since PR-E, enforcement is per binding (</w:t>
            </w:r>
            <w:r>
              <w:rPr>
                <w:rStyle w:val="SourceText"/>
              </w:rPr>
              <w:t>lib/gpp/binding-enforcement.ts</w:t>
            </w:r>
            <w:r>
              <w:rPr/>
              <w:t xml:space="preserve">, decided in </w:t>
            </w:r>
            <w:r>
              <w:rPr>
                <w:rStyle w:val="SourceText"/>
              </w:rPr>
              <w:t>lib/gpp/permit-enforcement.ts</w:t>
            </w:r>
            <w:r>
              <w:rPr/>
              <w:t xml:space="preserve">): a binding is enforced only when it has an entry in the checked-in </w:t>
            </w:r>
            <w:r>
              <w:rPr>
                <w:rStyle w:val="SourceText"/>
              </w:rPr>
              <w:t>GPP_BINDING_ENFORCEMENT</w:t>
            </w:r>
            <w:r>
              <w:rPr/>
              <w:t xml:space="preserve"> table, and every other binding is on the shrink-only </w:t>
            </w:r>
            <w:r>
              <w:rPr>
                <w:rStyle w:val="SourceText"/>
              </w:rPr>
              <w:t>KNOWN_SHADOW_BINDINGS</w:t>
            </w:r>
            <w:r>
              <w:rPr/>
              <w:t xml:space="preserve"> list. Under an enforced binding, an outward, authority or irreversible call without a valid permit from that binding is refused with </w:t>
            </w:r>
            <w:r>
              <w:rPr>
                <w:rStyle w:val="SourceText"/>
              </w:rPr>
              <w:t>permit_required</w:t>
            </w:r>
            <w:r>
              <w:rPr/>
              <w:t xml:space="preserve"> (disposition </w:t>
            </w:r>
            <w:r>
              <w:rPr>
                <w:rStyle w:val="SourceText"/>
              </w:rPr>
              <w:t>awaiting-input</w:t>
            </w:r>
            <w:r>
              <w:rPr/>
              <w:t>), whose data carries the MCP extension draft's remediation hint (</w:t>
            </w:r>
            <w:r>
              <w:rPr>
                <w:rStyle w:val="SourceText"/>
              </w:rPr>
              <w:t>handle_required</w:t>
            </w:r>
            <w:r>
              <w:rPr/>
              <w:t xml:space="preserve">, </w:t>
            </w:r>
            <w:r>
              <w:rPr>
                <w:rStyle w:val="SourceText"/>
              </w:rPr>
              <w:t>handle_invalid</w:t>
            </w:r>
            <w:r>
              <w:rPr/>
              <w:t xml:space="preserve"> or </w:t>
            </w:r>
            <w:r>
              <w:rPr>
                <w:rStyle w:val="SourceText"/>
              </w:rPr>
              <w:t>handle_mismatch</w:t>
            </w:r>
            <w:r>
              <w:rPr/>
              <w:t xml:space="preserve">, and the gate to pass); the refusal is audited and receipted like the other rejections, and the observation is recorded </w:t>
            </w:r>
            <w:r>
              <w:rPr>
                <w:rStyle w:val="SourceText"/>
              </w:rPr>
              <w:t>enforced</w:t>
            </w:r>
            <w:r>
              <w:rPr/>
              <w:t xml:space="preserve">. A call the binding cannot judge for a reason that is not the caller's runs as in shadow and records </w:t>
            </w:r>
            <w:r>
              <w:rPr>
                <w:rStyle w:val="SourceText"/>
              </w:rPr>
              <w:t>enforcement_downgraded</w:t>
            </w:r>
            <w:r>
              <w:rPr/>
              <w:t xml:space="preserve"> with the reason: no permit key, unsealed lineage the ratifying decision did not accept, an infrastructure fault, or </w:t>
            </w:r>
            <w:r>
              <w:rPr>
                <w:rStyle w:val="SourceText"/>
              </w:rPr>
              <w:t>DPF_GPP_ENFORCEMENT=shadow-all</w:t>
            </w:r>
            <w:r>
              <w:rPr/>
              <w:t xml:space="preserve">. A forged, replayed, mismatched or expired permit is refused before any downgrade is considered. A direct </w:t>
            </w:r>
            <w:r>
              <w:rPr>
                <w:rStyle w:val="SourceText"/>
              </w:rPr>
              <w:t>executeTool</w:t>
            </w:r>
            <w:r>
              <w:rPr/>
              <w:t xml:space="preserve"> call is never refused; instead a binding cannot be promoted while any of its tools has a direct site. BI-69415B68.</w:t>
            </w:r>
          </w:p>
        </w:tc>
        <w:tc>
          <w:tcPr>
            <w:tcW w:w="6035" w:type="dxa"/>
            <w:tcBorders/>
            <w:vAlign w:val="center"/>
          </w:tcPr>
          <w:p>
            <w:pPr>
              <w:pStyle w:val="TableContents"/>
              <w:bidi w:val="0"/>
              <w:spacing w:before="0" w:after="283"/>
              <w:jc w:val="left"/>
              <w:rPr/>
            </w:pPr>
            <w:r>
              <w:rPr>
                <w:rStyle w:val="Strong"/>
              </w:rPr>
              <w:t>Per binding; all shadow.</w:t>
            </w:r>
            <w:r>
              <w:rPr/>
              <w:t xml:space="preserve"> The enforcement table is empty, so no verdict changes a call's outcome, and mint, record and lineage-lookup failures are swallowed. Routine reads and ordinary writes are not observed. Forgery is detectable, not preventable, on installs where agents can read host secrets or write the database.</w:t>
            </w:r>
          </w:p>
        </w:tc>
      </w:tr>
      <w:tr>
        <w:trPr/>
        <w:tc>
          <w:tcPr>
            <w:tcW w:w="3175" w:type="dxa"/>
            <w:tcBorders/>
            <w:vAlign w:val="center"/>
          </w:tcPr>
          <w:p>
            <w:pPr>
              <w:pStyle w:val="TableContents"/>
              <w:bidi w:val="0"/>
              <w:spacing w:before="0" w:after="283"/>
              <w:jc w:val="left"/>
              <w:rPr/>
            </w:pPr>
            <w:r>
              <w:rPr/>
              <w:t>Transition path uniqueness, C-8 (Phase 2 PR-F)</w:t>
            </w:r>
          </w:p>
        </w:tc>
        <w:tc>
          <w:tcPr>
            <w:tcW w:w="37830" w:type="dxa"/>
            <w:tcBorders/>
            <w:vAlign w:val="center"/>
          </w:tcPr>
          <w:p>
            <w:pPr>
              <w:pStyle w:val="TableContents"/>
              <w:bidi w:val="0"/>
              <w:spacing w:before="0" w:after="283"/>
              <w:jc w:val="left"/>
              <w:rPr/>
            </w:pPr>
            <w:r>
              <w:rPr>
                <w:rStyle w:val="SourceText"/>
              </w:rPr>
              <w:t>transitionPlanToBuild</w:t>
            </w:r>
            <w:r>
              <w:rPr/>
              <w:t xml:space="preserve"> and </w:t>
            </w:r>
            <w:r>
              <w:rPr>
                <w:rStyle w:val="SourceText"/>
              </w:rPr>
              <w:t>PLAN_TO_BUILD_GATE_PROFILES</w:t>
            </w:r>
            <w:r>
              <w:rPr/>
              <w:t xml:space="preserve"> in </w:t>
            </w:r>
            <w:r>
              <w:rPr>
                <w:rStyle w:val="SourceText"/>
              </w:rPr>
              <w:t>apps/web/lib/build/plan-to-build-transition-core.ts</w:t>
            </w:r>
            <w:r>
              <w:rPr/>
              <w:t xml:space="preserve">, re-exported by </w:t>
            </w:r>
            <w:r>
              <w:rPr>
                <w:rStyle w:val="SourceText"/>
              </w:rPr>
              <w:t>plan-to-build-transition.ts</w:t>
            </w:r>
            <w:r>
              <w:rPr/>
              <w:t xml:space="preserve">. All five Build Studio plan → build paths call it: </w:t>
            </w:r>
            <w:r>
              <w:rPr>
                <w:rStyle w:val="SourceText"/>
              </w:rPr>
              <w:t>advanceBuildPhase</w:t>
            </w:r>
            <w:r>
              <w:rPr/>
              <w:t xml:space="preserve">, </w:t>
            </w:r>
            <w:r>
              <w:rPr>
                <w:rStyle w:val="SourceText"/>
              </w:rPr>
              <w:t>POST /api/agent/build/advance-phase</w:t>
            </w:r>
            <w:r>
              <w:rPr/>
              <w:t xml:space="preserve">, </w:t>
            </w:r>
            <w:r>
              <w:rPr>
                <w:rStyle w:val="SourceText"/>
              </w:rPr>
              <w:t>performPlanToBuildTransition</w:t>
            </w:r>
            <w:r>
              <w:rPr/>
              <w:t xml:space="preserve"> (plan review and the pre-build resume), the </w:t>
            </w:r>
            <w:r>
              <w:rPr>
                <w:rStyle w:val="SourceText"/>
              </w:rPr>
              <w:t>save_phase_handoff</w:t>
            </w:r>
            <w:r>
              <w:rPr/>
              <w:t xml:space="preserve"> auto-advance and the </w:t>
            </w:r>
            <w:r>
              <w:rPr>
                <w:rStyle w:val="SourceText"/>
              </w:rPr>
              <w:t>dispatchBuildForApprovedPlan</w:t>
            </w:r>
            <w:r>
              <w:rPr/>
              <w:t xml:space="preserve"> fallback write. The function runs each path's declared steps in declared order and owns the phase write. Each path's gate set, order, modes and refusal form are unchanged and declared in its profile. The WWMD plan-advancement gate is blocking on the UI action and the admin route, follows the autonomous playbook mode on plan review and resume, is not evaluated but recorded (</w:t>
            </w:r>
            <w:r>
              <w:rPr>
                <w:rStyle w:val="SourceText"/>
              </w:rPr>
              <w:t>gpp-c8-transition-gate-skipped</w:t>
            </w:r>
            <w:r>
              <w:rPr/>
              <w:t xml:space="preserve">) on </w:t>
            </w:r>
            <w:r>
              <w:rPr>
                <w:rStyle w:val="SourceText"/>
              </w:rPr>
              <w:t>save_phase_handoff</w:t>
            </w:r>
            <w:r>
              <w:rPr/>
              <w:t xml:space="preserve">, and is not evaluated on the dispatch fallback. </w:t>
            </w:r>
            <w:r>
              <w:rPr>
                <w:rStyle w:val="SourceText"/>
              </w:rPr>
              <w:t>lib/gpp/direct-phase-writes-ratchet.test.ts</w:t>
            </w:r>
            <w:r>
              <w:rPr/>
              <w:t xml:space="preserve"> fails on any new write that can set </w:t>
            </w:r>
            <w:r>
              <w:rPr>
                <w:rStyle w:val="SourceText"/>
              </w:rPr>
              <w:t>phase = "build"</w:t>
            </w:r>
            <w:r>
              <w:rPr/>
              <w:t xml:space="preserve"> outside that file, against the shrink-only </w:t>
            </w:r>
            <w:r>
              <w:rPr>
                <w:rStyle w:val="SourceText"/>
              </w:rPr>
              <w:t>KNOWN_DIRECT_BUILD_PHASE_WRITES</w:t>
            </w:r>
            <w:r>
              <w:rPr/>
              <w:t>. BI-45F9CB7A.</w:t>
            </w:r>
          </w:p>
        </w:tc>
        <w:tc>
          <w:tcPr>
            <w:tcW w:w="6035" w:type="dxa"/>
            <w:tcBorders/>
            <w:vAlign w:val="center"/>
          </w:tcPr>
          <w:p>
            <w:pPr>
              <w:pStyle w:val="TableContents"/>
              <w:bidi w:val="0"/>
              <w:spacing w:before="0" w:after="283"/>
              <w:jc w:val="left"/>
              <w:rPr/>
            </w:pPr>
            <w:r>
              <w:rPr>
                <w:rStyle w:val="Strong"/>
              </w:rPr>
              <w:t>Single path, gate sets unequal.</w:t>
            </w:r>
            <w:r>
              <w:rPr/>
              <w:t xml:space="preserve"> Visible and ratcheted, not yet uniform. Enforcing WWMD on </w:t>
            </w:r>
            <w:r>
              <w:rPr>
                <w:rStyle w:val="SourceText"/>
              </w:rPr>
              <w:t>save_phase_handoff</w:t>
            </w:r>
            <w:r>
              <w:rPr/>
              <w:t xml:space="preserve"> is a separate decision on the shadow counts. Review → ship and the other transitions are not routed.</w:t>
            </w:r>
          </w:p>
        </w:tc>
      </w:tr>
      <w:tr>
        <w:trPr/>
        <w:tc>
          <w:tcPr>
            <w:tcW w:w="3175" w:type="dxa"/>
            <w:tcBorders/>
            <w:vAlign w:val="center"/>
          </w:tcPr>
          <w:p>
            <w:pPr>
              <w:pStyle w:val="TableContents"/>
              <w:bidi w:val="0"/>
              <w:spacing w:before="0" w:after="283"/>
              <w:jc w:val="left"/>
              <w:rPr/>
            </w:pPr>
            <w:r>
              <w:rPr/>
              <w:t>Governed rebind of a live Workroom to a new shape version (§2.1.1)</w:t>
            </w:r>
          </w:p>
        </w:tc>
        <w:tc>
          <w:tcPr>
            <w:tcW w:w="37830" w:type="dxa"/>
            <w:tcBorders/>
            <w:vAlign w:val="center"/>
          </w:tcPr>
          <w:p>
            <w:pPr>
              <w:pStyle w:val="TableContents"/>
              <w:bidi w:val="0"/>
              <w:spacing w:before="0" w:after="283"/>
              <w:jc w:val="left"/>
              <w:rPr/>
            </w:pPr>
            <w:r>
              <w:rPr>
                <w:rStyle w:val="SourceText"/>
              </w:rPr>
              <w:t>work-shape-prior-versions.ts</w:t>
            </w:r>
            <w:r>
              <w:rPr/>
              <w:t xml:space="preserve">, </w:t>
            </w:r>
            <w:r>
              <w:rPr>
                <w:rStyle w:val="SourceText"/>
              </w:rPr>
              <w:t>work-shape-binding-diff.ts</w:t>
            </w:r>
            <w:r>
              <w:rPr/>
              <w:t xml:space="preserve"> and </w:t>
            </w:r>
            <w:r>
              <w:rPr>
                <w:rStyle w:val="SourceText"/>
              </w:rPr>
              <w:t>workroom-shape-rebind.ts</w:t>
            </w:r>
            <w:r>
              <w:rPr/>
              <w:t xml:space="preserve"> / </w:t>
            </w:r>
            <w:r>
              <w:rPr>
                <w:rStyle w:val="SourceText"/>
              </w:rPr>
              <w:t>.server.ts</w:t>
            </w:r>
            <w:r>
              <w:rPr/>
              <w:t xml:space="preserve"> in </w:t>
            </w:r>
            <w:r>
              <w:rPr>
                <w:rStyle w:val="SourceText"/>
              </w:rPr>
              <w:t>apps/web/lib/work-management/</w:t>
            </w:r>
            <w:r>
              <w:rPr/>
              <w:t xml:space="preserve">; MCP tool </w:t>
            </w:r>
            <w:r>
              <w:rPr>
                <w:rStyle w:val="SourceText"/>
              </w:rPr>
              <w:t>rebind_workroom_shape</w:t>
            </w:r>
            <w:r>
              <w:rPr/>
              <w:t xml:space="preserve">; </w:t>
            </w:r>
            <w:r>
              <w:rPr>
                <w:rStyle w:val="SourceText"/>
              </w:rPr>
              <w:t>standing-shape-bumps.test.ts</w:t>
            </w:r>
            <w:r>
              <w:rPr/>
              <w:t>. Four standing shapes moved 1.0.0 → 1.1.0 as a widening. Each owner rebind carried a rationale and was recorded as decision-record evidence plus a workshape-rebound activity. BI-CB5C0DCE, BI-EBF0F6EE, PRs #5860 and #5879.</w:t>
            </w:r>
          </w:p>
        </w:tc>
        <w:tc>
          <w:tcPr>
            <w:tcW w:w="6035" w:type="dxa"/>
            <w:tcBorders/>
            <w:vAlign w:val="center"/>
          </w:tcPr>
          <w:p>
            <w:pPr>
              <w:pStyle w:val="TableContents"/>
              <w:bidi w:val="0"/>
              <w:spacing w:before="0" w:after="283"/>
              <w:jc w:val="left"/>
              <w:rPr/>
            </w:pPr>
            <w:r>
              <w:rPr>
                <w:rStyle w:val="Strong"/>
              </w:rPr>
              <w:t>Implemented</w:t>
            </w:r>
            <w:r>
              <w:rPr/>
              <w:t>: the first §2.1.1 reference implementation. A widening is applied only by a recorded owner rebind, never by a silent version change.</w:t>
            </w:r>
          </w:p>
        </w:tc>
      </w:tr>
      <w:tr>
        <w:trPr/>
        <w:tc>
          <w:tcPr>
            <w:tcW w:w="3175" w:type="dxa"/>
            <w:tcBorders/>
            <w:vAlign w:val="center"/>
          </w:tcPr>
          <w:p>
            <w:pPr>
              <w:pStyle w:val="TableContents"/>
              <w:bidi w:val="0"/>
              <w:spacing w:before="0" w:after="283"/>
              <w:jc w:val="left"/>
              <w:rPr/>
            </w:pPr>
            <w:r>
              <w:rPr/>
              <w:t>Make-explicit revision without a version change (§2.1.1, the narrowing path)</w:t>
            </w:r>
          </w:p>
        </w:tc>
        <w:tc>
          <w:tcPr>
            <w:tcW w:w="37830" w:type="dxa"/>
            <w:tcBorders/>
            <w:vAlign w:val="center"/>
          </w:tcPr>
          <w:p>
            <w:pPr>
              <w:pStyle w:val="TableContents"/>
              <w:bidi w:val="0"/>
              <w:spacing w:before="0" w:after="283"/>
              <w:jc w:val="left"/>
              <w:rPr/>
            </w:pPr>
            <w:r>
              <w:rPr>
                <w:rStyle w:val="SourceText"/>
              </w:rPr>
              <w:t>issue-triage-watch</w:t>
            </w:r>
            <w:r>
              <w:rPr/>
              <w:t xml:space="preserve"> in </w:t>
            </w:r>
            <w:r>
              <w:rPr>
                <w:rStyle w:val="SourceText"/>
              </w:rPr>
              <w:t>apps/web/lib/work-management/standing-operations-shapes.ts</w:t>
            </w:r>
            <w:r>
              <w:rPr/>
              <w:t xml:space="preserve">. The shape description and the classify and dedupe stage conditions now name the issue source: triaging backlog items, read with the already-declared </w:t>
            </w:r>
            <w:r>
              <w:rPr>
                <w:rStyle w:val="SourceText"/>
              </w:rPr>
              <w:t>query_backlog</w:t>
            </w:r>
            <w:r>
              <w:rPr/>
              <w:t xml:space="preserve">. Tools, grants and stages are unchanged, and a guard test in </w:t>
            </w:r>
            <w:r>
              <w:rPr>
                <w:rStyle w:val="SourceText"/>
              </w:rPr>
              <w:t>standing-operations-shapes.test.ts</w:t>
            </w:r>
            <w:r>
              <w:rPr/>
              <w:t xml:space="preserve"> holds the wording and the tool set. PR #5903, BI-8A2595A4.</w:t>
            </w:r>
          </w:p>
        </w:tc>
        <w:tc>
          <w:tcPr>
            <w:tcW w:w="6035" w:type="dxa"/>
            <w:tcBorders/>
            <w:vAlign w:val="center"/>
          </w:tcPr>
          <w:p>
            <w:pPr>
              <w:pStyle w:val="TableContents"/>
              <w:bidi w:val="0"/>
              <w:spacing w:before="0" w:after="283"/>
              <w:jc w:val="left"/>
              <w:rPr/>
            </w:pPr>
            <w:r>
              <w:rPr>
                <w:rStyle w:val="Strong"/>
              </w:rPr>
              <w:t>Implemented</w:t>
            </w:r>
            <w:r>
              <w:rPr/>
              <w:t>: the first live make-explicit revision. It applies to the pinned 1.0.0 with no bump or rebind, because it admits nothing new. It resolves the off-binding call that the C-6 reconciliation below found in WC-9B26C12E: the stage brief did not name its source, so the stage searched for one.</w:t>
            </w:r>
          </w:p>
        </w:tc>
      </w:tr>
      <w:tr>
        <w:trPr/>
        <w:tc>
          <w:tcPr>
            <w:tcW w:w="3175" w:type="dxa"/>
            <w:tcBorders/>
            <w:vAlign w:val="center"/>
          </w:tcPr>
          <w:p>
            <w:pPr>
              <w:pStyle w:val="TableContents"/>
              <w:bidi w:val="0"/>
              <w:spacing w:before="0" w:after="283"/>
              <w:jc w:val="left"/>
              <w:rPr/>
            </w:pPr>
            <w:r>
              <w:rPr/>
              <w:t>First live C-6 reach reconciliation (standing rooms, 2026-10-02 00:00 UTC cycle)</w:t>
            </w:r>
          </w:p>
        </w:tc>
        <w:tc>
          <w:tcPr>
            <w:tcW w:w="37830" w:type="dxa"/>
            <w:tcBorders/>
            <w:vAlign w:val="center"/>
          </w:tcPr>
          <w:p>
            <w:pPr>
              <w:pStyle w:val="TableContents"/>
              <w:bidi w:val="0"/>
              <w:spacing w:before="0" w:after="283"/>
              <w:jc w:val="left"/>
              <w:rPr/>
            </w:pPr>
            <w:r>
              <w:rPr>
                <w:rStyle w:val="SourceText"/>
              </w:rPr>
              <w:t>ToolExecution</w:t>
            </w:r>
            <w:r>
              <w:rPr/>
              <w:t xml:space="preserve"> rows per stage </w:t>
            </w:r>
            <w:r>
              <w:rPr>
                <w:rStyle w:val="SourceText"/>
              </w:rPr>
              <w:t>TaskRun</w:t>
            </w:r>
            <w:r>
              <w:rPr/>
              <w:t xml:space="preserve">, compared with each stage's declared </w:t>
            </w:r>
            <w:r>
              <w:rPr>
                <w:rStyle w:val="SourceText"/>
              </w:rPr>
              <w:t>tools</w:t>
            </w:r>
            <w:r>
              <w:rPr/>
              <w:t xml:space="preserve">. The cycle ran 12 stage runs across 11 standing rooms. In 8 rooms the stage called its declared read tool. Under-reach: two declared tools were not called that run. Off-binding reach: one dedupe stage (WC-9B26C12E) called an undeclared listing tool, then blocked. The two rooms on </w:t>
            </w:r>
            <w:r>
              <w:rPr>
                <w:rStyle w:val="SourceText"/>
              </w:rPr>
              <w:t>KNOWN_STAGE_TOOL_GAPS</w:t>
            </w:r>
            <w:r>
              <w:rPr/>
              <w:t xml:space="preserve"> (declared tools empty) searched discovery tools and blocked for lack of a reader (BI-A0296614, BI-73FD4513).</w:t>
            </w:r>
          </w:p>
        </w:tc>
        <w:tc>
          <w:tcPr>
            <w:tcW w:w="6035" w:type="dxa"/>
            <w:tcBorders/>
            <w:vAlign w:val="center"/>
          </w:tcPr>
          <w:p>
            <w:pPr>
              <w:pStyle w:val="TableContents"/>
              <w:bidi w:val="0"/>
              <w:spacing w:before="0" w:after="283"/>
              <w:jc w:val="left"/>
              <w:rPr/>
            </w:pPr>
            <w:r>
              <w:rPr>
                <w:rStyle w:val="Strong"/>
              </w:rPr>
              <w:t>Run by hand, once.</w:t>
            </w:r>
            <w:r>
              <w:rPr/>
              <w:t xml:space="preserve"> C-6 found both kinds of divergence the check exists for: an off-binding call, where either the binding or the stage brief is wrong, and gaps where the model admits too little. Use </w:t>
            </w:r>
            <w:r>
              <w:rPr>
                <w:rStyle w:val="SourceText"/>
              </w:rPr>
              <w:t>ToolExecution</w:t>
            </w:r>
            <w:r>
              <w:rPr/>
              <w:t xml:space="preserve"> and evidence rows rather than </w:t>
            </w:r>
            <w:r>
              <w:rPr>
                <w:rStyle w:val="SourceText"/>
              </w:rPr>
              <w:t>TaskRun</w:t>
            </w:r>
            <w:r>
              <w:rPr/>
              <w:t xml:space="preserve"> status, which reported these runs as failed until BI-D48B3B0F (#5897). An automated C-6 report is not built.</w:t>
            </w:r>
          </w:p>
        </w:tc>
      </w:tr>
      <w:tr>
        <w:trPr/>
        <w:tc>
          <w:tcPr>
            <w:tcW w:w="3175" w:type="dxa"/>
            <w:tcBorders/>
            <w:vAlign w:val="center"/>
          </w:tcPr>
          <w:p>
            <w:pPr>
              <w:pStyle w:val="TableContents"/>
              <w:bidi w:val="0"/>
              <w:spacing w:before="0" w:after="283"/>
              <w:jc w:val="left"/>
              <w:rPr/>
            </w:pPr>
            <w:r>
              <w:rPr/>
              <w:t>Evidence for §11</w:t>
            </w:r>
          </w:p>
        </w:tc>
        <w:tc>
          <w:tcPr>
            <w:tcW w:w="37830" w:type="dxa"/>
            <w:tcBorders/>
            <w:vAlign w:val="center"/>
          </w:tcPr>
          <w:p>
            <w:pPr>
              <w:pStyle w:val="TableContents"/>
              <w:bidi w:val="0"/>
              <w:spacing w:before="0" w:after="283"/>
              <w:jc w:val="left"/>
              <w:rPr/>
            </w:pPr>
            <w:r>
              <w:rPr>
                <w:rStyle w:val="SourceText"/>
              </w:rPr>
              <w:t>AuthorizationDecisionLog</w:t>
            </w:r>
            <w:r>
              <w:rPr/>
              <w:t xml:space="preserve">, </w:t>
            </w:r>
            <w:r>
              <w:rPr>
                <w:rStyle w:val="SourceText"/>
              </w:rPr>
              <w:t>ToolExecution</w:t>
            </w:r>
            <w:r>
              <w:rPr/>
              <w:t xml:space="preserve">, </w:t>
            </w:r>
            <w:r>
              <w:rPr>
                <w:rStyle w:val="SourceText"/>
              </w:rPr>
              <w:t>DecisionInteraction</w:t>
            </w:r>
            <w:r>
              <w:rPr/>
              <w:t xml:space="preserve">, </w:t>
            </w:r>
            <w:r>
              <w:rPr>
                <w:rStyle w:val="SourceText"/>
              </w:rPr>
              <w:t>CoworkerActionEnvelope</w:t>
            </w:r>
            <w:r>
              <w:rPr/>
              <w:t xml:space="preserve">, </w:t>
            </w:r>
            <w:r>
              <w:rPr>
                <w:rStyle w:val="SourceText"/>
              </w:rPr>
              <w:t>WorkroomActivity</w:t>
            </w:r>
          </w:p>
        </w:tc>
        <w:tc>
          <w:tcPr>
            <w:tcW w:w="6035" w:type="dxa"/>
            <w:tcBorders/>
            <w:vAlign w:val="center"/>
          </w:tcPr>
          <w:p>
            <w:pPr>
              <w:pStyle w:val="TableContents"/>
              <w:bidi w:val="0"/>
              <w:spacing w:before="0" w:after="283"/>
              <w:jc w:val="left"/>
              <w:rPr/>
            </w:pPr>
            <w:r>
              <w:rPr/>
              <w:t xml:space="preserve">Records exist; about 26 direct </w:t>
            </w:r>
            <w:r>
              <w:rPr>
                <w:rStyle w:val="SourceText"/>
              </w:rPr>
              <w:t>executeTool</w:t>
            </w:r>
            <w:r>
              <w:rPr/>
              <w:t xml:space="preserve"> call sites bypass the governed audit; no published measures</w:t>
            </w:r>
          </w:p>
        </w:tc>
      </w:tr>
    </w:tbl>
    <w:p>
      <w:pPr>
        <w:pStyle w:val="BodyText"/>
        <w:bidi w:val="0"/>
        <w:jc w:val="left"/>
        <w:rPr/>
      </w:pPr>
      <w:r>
        <w:rPr>
          <w:rStyle w:val="Strong"/>
        </w:rPr>
        <w:t>Promoting a permit binding to enforced (informative).</w:t>
      </w:r>
      <w:r>
        <w:rPr/>
        <w:t xml:space="preserve"> Each promotion is its own small, revertable PR that adds one entry to </w:t>
      </w:r>
      <w:r>
        <w:rPr>
          <w:rStyle w:val="SourceText"/>
        </w:rPr>
        <w:t>GPP_BINDING_ENFORCEMENT</w:t>
      </w:r>
      <w:r>
        <w:rPr/>
        <w:t xml:space="preserve"> in </w:t>
      </w:r>
      <w:r>
        <w:rPr>
          <w:rStyle w:val="SourceText"/>
        </w:rPr>
        <w:t>apps/web/lib/gpp/binding-enforcement.ts</w:t>
      </w:r>
      <w:r>
        <w:rPr/>
        <w:t xml:space="preserve"> and removes the binding from </w:t>
      </w:r>
      <w:r>
        <w:rPr>
          <w:rStyle w:val="SourceText"/>
        </w:rPr>
        <w:t>KNOWN_SHADOW_BINDINGS</w:t>
      </w:r>
      <w:r>
        <w:rPr/>
        <w:t xml:space="preserve">. Nothing in the database and no environment variable can promote a binding; </w:t>
      </w:r>
      <w:r>
        <w:rPr>
          <w:rStyle w:val="SourceText"/>
        </w:rPr>
        <w:t>DPF_GPP_ENFORCEMENT=shadow-all</w:t>
      </w:r>
      <w:r>
        <w:rPr/>
        <w:t xml:space="preserve"> is the only runtime override, and it can only return every binding to shadow. </w:t>
      </w:r>
      <w:r>
        <w:rPr>
          <w:rStyle w:val="SourceText"/>
        </w:rPr>
        <w:t>binding-enforcement.test.ts</w:t>
      </w:r>
      <w:r>
        <w:rPr/>
        <w:t xml:space="preserve"> refuses the entry unless:</w:t>
      </w:r>
    </w:p>
    <w:p>
      <w:pPr>
        <w:pStyle w:val="BodyText"/>
        <w:numPr>
          <w:ilvl w:val="0"/>
          <w:numId w:val="17"/>
        </w:numPr>
        <w:tabs>
          <w:tab w:val="clear" w:pos="1134"/>
          <w:tab w:val="left" w:pos="709" w:leader="none"/>
        </w:tabs>
        <w:bidi w:val="0"/>
        <w:spacing w:before="0" w:after="0"/>
        <w:ind w:hanging="283" w:left="709"/>
        <w:jc w:val="left"/>
        <w:rPr/>
      </w:pPr>
      <w:r>
        <w:rPr/>
        <w:t>it cites a WWMD decision id (</w:t>
      </w:r>
      <w:r>
        <w:rPr>
          <w:rStyle w:val="SourceText"/>
        </w:rPr>
        <w:t>DI-</w:t>
      </w:r>
      <w:r>
        <w:rPr/>
        <w:t xml:space="preserve"> and 12 hex digits) from </w:t>
      </w:r>
      <w:r>
        <w:rPr>
          <w:rStyle w:val="SourceText"/>
        </w:rPr>
        <w:t>principle_decide</w:t>
      </w:r>
      <w:r>
        <w:rPr/>
        <w:t xml:space="preserve">, recorded with </w:t>
      </w:r>
      <w:r>
        <w:rPr>
          <w:rStyle w:val="SourceText"/>
        </w:rPr>
        <w:t>dpf-record-decision-outcome</w:t>
      </w:r>
      <w:r>
        <w:rPr/>
        <w:t xml:space="preserve">, a ratification date, and the evidence it rests on: at least 14 days of </w:t>
      </w:r>
      <w:r>
        <w:rPr>
          <w:rStyle w:val="SourceText"/>
        </w:rPr>
        <w:t>GppPermitObservation</w:t>
      </w:r>
      <w:r>
        <w:rPr/>
        <w:t xml:space="preserve"> for the binding with no unexplained </w:t>
      </w:r>
      <w:r>
        <w:rPr>
          <w:rStyle w:val="SourceText"/>
        </w:rPr>
        <w:t>mac_invalid</w:t>
      </w:r>
      <w:r>
        <w:rPr/>
        <w:t xml:space="preserve">, </w:t>
      </w:r>
      <w:r>
        <w:rPr>
          <w:rStyle w:val="SourceText"/>
        </w:rPr>
        <w:t>param_mismatch</w:t>
      </w:r>
      <w:r>
        <w:rPr/>
        <w:t xml:space="preserve">, </w:t>
      </w:r>
      <w:r>
        <w:rPr>
          <w:rStyle w:val="SourceText"/>
        </w:rPr>
        <w:t>lineage_missing</w:t>
      </w:r>
      <w:r>
        <w:rPr/>
        <w:t xml:space="preserve">, </w:t>
      </w:r>
      <w:r>
        <w:rPr>
          <w:rStyle w:val="SourceText"/>
        </w:rPr>
        <w:t>absent</w:t>
      </w:r>
      <w:r>
        <w:rPr/>
        <w:t xml:space="preserve">, </w:t>
      </w:r>
      <w:r>
        <w:rPr>
          <w:rStyle w:val="SourceText"/>
        </w:rPr>
        <w:t>ungoverned</w:t>
      </w:r>
      <w:r>
        <w:rPr/>
        <w:t xml:space="preserve"> or </w:t>
      </w:r>
      <w:r>
        <w:rPr>
          <w:rStyle w:val="SourceText"/>
        </w:rPr>
        <w:t>unmediated</w:t>
      </w:r>
      <w:r>
        <w:rPr/>
        <w:t xml:space="preserve"> verdict for its tools; </w:t>
      </w:r>
    </w:p>
    <w:p>
      <w:pPr>
        <w:pStyle w:val="BodyText"/>
        <w:numPr>
          <w:ilvl w:val="0"/>
          <w:numId w:val="17"/>
        </w:numPr>
        <w:tabs>
          <w:tab w:val="clear" w:pos="1134"/>
          <w:tab w:val="left" w:pos="709" w:leader="none"/>
        </w:tabs>
        <w:bidi w:val="0"/>
        <w:spacing w:before="0" w:after="0"/>
        <w:ind w:hanging="283" w:left="709"/>
        <w:jc w:val="left"/>
        <w:rPr/>
      </w:pPr>
      <w:r>
        <w:rPr/>
        <w:t xml:space="preserve">the binding names an explicit </w:t>
      </w:r>
      <w:r>
        <w:rPr>
          <w:rStyle w:val="SourceText"/>
        </w:rPr>
        <w:t>tools</w:t>
      </w:r>
      <w:r>
        <w:rPr/>
        <w:t xml:space="preserve"> list, and every tool is outward, authority or irreversible by </w:t>
      </w:r>
      <w:r>
        <w:rPr>
          <w:rStyle w:val="SourceText"/>
        </w:rPr>
        <w:t>classifyConsequentialTool</w:t>
      </w:r>
      <w:r>
        <w:rPr/>
        <w:t xml:space="preserve">. A predicate-wide binding, such as the two seeds, cannot be promoted; </w:t>
      </w:r>
    </w:p>
    <w:p>
      <w:pPr>
        <w:pStyle w:val="BodyText"/>
        <w:numPr>
          <w:ilvl w:val="0"/>
          <w:numId w:val="17"/>
        </w:numPr>
        <w:tabs>
          <w:tab w:val="clear" w:pos="1134"/>
          <w:tab w:val="left" w:pos="709" w:leader="none"/>
        </w:tabs>
        <w:bidi w:val="0"/>
        <w:spacing w:before="0" w:after="0"/>
        <w:ind w:hanging="283" w:left="709"/>
        <w:jc w:val="left"/>
        <w:rPr/>
      </w:pPr>
      <w:r>
        <w:rPr/>
        <w:t xml:space="preserve">no tool on the list has a direct </w:t>
      </w:r>
      <w:r>
        <w:rPr>
          <w:rStyle w:val="SourceText"/>
        </w:rPr>
        <w:t>executeTool</w:t>
      </w:r>
      <w:r>
        <w:rPr/>
        <w:t xml:space="preserve"> site, and no direct site with a dynamic tool name exists. After Phase 2 PR-H two dynamic sites remain, the proposal-approval paths, so no binding is promotable yet; </w:t>
      </w:r>
    </w:p>
    <w:p>
      <w:pPr>
        <w:pStyle w:val="BodyText"/>
        <w:numPr>
          <w:ilvl w:val="0"/>
          <w:numId w:val="17"/>
        </w:numPr>
        <w:tabs>
          <w:tab w:val="clear" w:pos="1134"/>
          <w:tab w:val="left" w:pos="709" w:leader="none"/>
        </w:tabs>
        <w:bidi w:val="0"/>
        <w:spacing w:before="0" w:after="0"/>
        <w:ind w:hanging="283" w:left="709"/>
        <w:jc w:val="left"/>
        <w:rPr/>
      </w:pPr>
      <w:r>
        <w:rPr/>
        <w:t xml:space="preserve">for an alignment-admit binding, the alignment gate runs for every listed tool outside a Workroom; </w:t>
      </w:r>
    </w:p>
    <w:p>
      <w:pPr>
        <w:pStyle w:val="BodyText"/>
        <w:numPr>
          <w:ilvl w:val="0"/>
          <w:numId w:val="17"/>
        </w:numPr>
        <w:tabs>
          <w:tab w:val="clear" w:pos="1134"/>
          <w:tab w:val="left" w:pos="709" w:leader="none"/>
        </w:tabs>
        <w:bidi w:val="0"/>
        <w:spacing w:before="0" w:after="0"/>
        <w:ind w:hanging="283" w:left="709"/>
        <w:jc w:val="left"/>
        <w:rPr/>
      </w:pPr>
      <w:r>
        <w:rPr/>
        <w:t xml:space="preserve">the entry states how it treats unsealed lineage (R1): </w:t>
      </w:r>
      <w:r>
        <w:rPr>
          <w:rStyle w:val="SourceText"/>
        </w:rPr>
        <w:t>sealed-required</w:t>
      </w:r>
      <w:r>
        <w:rPr/>
        <w:t xml:space="preserve">, where an unsealed decision downgrades that call to shadow, or </w:t>
      </w:r>
      <w:r>
        <w:rPr>
          <w:rStyle w:val="SourceText"/>
        </w:rPr>
        <w:t>unsealed-accepted</w:t>
      </w:r>
      <w:r>
        <w:rPr/>
        <w:t xml:space="preserve">, which the decision must accept explicitly; </w:t>
      </w:r>
    </w:p>
    <w:p>
      <w:pPr>
        <w:pStyle w:val="BodyText"/>
        <w:numPr>
          <w:ilvl w:val="0"/>
          <w:numId w:val="17"/>
        </w:numPr>
        <w:tabs>
          <w:tab w:val="clear" w:pos="1134"/>
          <w:tab w:val="left" w:pos="709" w:leader="none"/>
        </w:tabs>
        <w:bidi w:val="0"/>
        <w:ind w:hanging="283" w:left="709"/>
        <w:jc w:val="left"/>
        <w:rPr/>
      </w:pPr>
      <w:r>
        <w:rPr/>
        <w:t xml:space="preserve">for a human-checkpoint binding, no listed tool can be called directly, that is, without a coworker agent (a person over REST, or an agent-unbound MCP token). The checkpoint gate runs only for coworker calls, so a direct call could never carry its permit. A direct call is not treated as its own checkpoint, because the platform cannot tell a person from an agent using that person's session or token. Every registered tool is directly callable today, so </w:t>
      </w:r>
      <w:r>
        <w:rPr>
          <w:rStyle w:val="SourceText"/>
        </w:rPr>
        <w:t>human-checkpoint-admit</w:t>
      </w:r>
      <w:r>
        <w:rPr/>
        <w:t xml:space="preserve"> is not promotable over any tool (PR-G). </w:t>
      </w:r>
    </w:p>
    <w:p>
      <w:pPr>
        <w:pStyle w:val="BodyText"/>
        <w:bidi w:val="0"/>
        <w:jc w:val="left"/>
        <w:rPr/>
      </w:pPr>
      <w:r>
        <w:rPr/>
        <w:t xml:space="preserve">The install operator also configures </w:t>
      </w:r>
      <w:r>
        <w:rPr>
          <w:rStyle w:val="SourceText"/>
        </w:rPr>
        <w:t>DPF_GPP_PERMIT_SECRET</w:t>
      </w:r>
      <w:r>
        <w:rPr/>
        <w:t xml:space="preserve"> before a promotion. Without it the binding records </w:t>
      </w:r>
      <w:r>
        <w:rPr>
          <w:rStyle w:val="SourceText"/>
        </w:rPr>
        <w:t>enforcement_downgraded</w:t>
      </w:r>
      <w:r>
        <w:rPr/>
        <w:t xml:space="preserve"> (</w:t>
      </w:r>
      <w:r>
        <w:rPr>
          <w:rStyle w:val="SourceText"/>
        </w:rPr>
        <w:t>permit-key-unconfigured</w:t>
      </w:r>
      <w:r>
        <w:rPr/>
        <w:t xml:space="preserve">) on every call rather than enforcing. To demote a binding, revert its promotion PR. In an emergency the operator sets </w:t>
      </w:r>
      <w:r>
        <w:rPr>
          <w:rStyle w:val="SourceText"/>
        </w:rPr>
        <w:t>DPF_GPP_ENFORCEMENT=shadow-all</w:t>
      </w:r>
      <w:r>
        <w:rPr/>
        <w:t>.</w:t>
      </w:r>
    </w:p>
    <w:p>
      <w:pPr>
        <w:pStyle w:val="BodyText"/>
        <w:bidi w:val="0"/>
        <w:jc w:val="left"/>
        <w:rPr/>
      </w:pPr>
      <w:r>
        <w:rPr>
          <w:rStyle w:val="Strong"/>
        </w:rPr>
        <w:t>Overall DPF status:</w:t>
      </w:r>
    </w:p>
    <w:p>
      <w:pPr>
        <w:pStyle w:val="BodyText"/>
        <w:numPr>
          <w:ilvl w:val="0"/>
          <w:numId w:val="18"/>
        </w:numPr>
        <w:tabs>
          <w:tab w:val="clear" w:pos="1134"/>
          <w:tab w:val="left" w:pos="709" w:leader="none"/>
        </w:tabs>
        <w:bidi w:val="0"/>
        <w:spacing w:before="0" w:after="0"/>
        <w:ind w:hanging="283" w:left="709"/>
        <w:jc w:val="left"/>
        <w:rPr/>
      </w:pPr>
      <w:r>
        <w:rPr>
          <w:rStyle w:val="SourceText"/>
        </w:rPr>
        <w:t>GPP-Modeled</w:t>
      </w:r>
      <w:r>
        <w:rPr/>
        <w:t xml:space="preserve">: </w:t>
      </w:r>
      <w:r>
        <w:rPr>
          <w:rStyle w:val="Strong"/>
        </w:rPr>
        <w:t>partial.</w:t>
      </w:r>
      <w:r>
        <w:rPr/>
        <w:t xml:space="preserve"> Standing, coworker and orchestration stages declare stage-level tools under a parity test that is a CI gate, with a shrink-only gap list. Delivery shapes bind at shape level in the §7.1 vocabulary under the C-2 guard; 26 standing-shape tokens remain dangling on a shrink-only list. </w:t>
      </w:r>
    </w:p>
    <w:p>
      <w:pPr>
        <w:pStyle w:val="BodyText"/>
        <w:numPr>
          <w:ilvl w:val="0"/>
          <w:numId w:val="18"/>
        </w:numPr>
        <w:tabs>
          <w:tab w:val="clear" w:pos="1134"/>
          <w:tab w:val="left" w:pos="709" w:leader="none"/>
        </w:tabs>
        <w:bidi w:val="0"/>
        <w:spacing w:before="0" w:after="0"/>
        <w:ind w:hanging="283" w:left="709"/>
        <w:jc w:val="left"/>
        <w:rPr/>
      </w:pPr>
      <w:r>
        <w:rPr>
          <w:rStyle w:val="SourceText"/>
        </w:rPr>
        <w:t>GPP-Enforced</w:t>
      </w:r>
      <w:r>
        <w:rPr/>
        <w:t xml:space="preserve">: </w:t>
      </w:r>
      <w:r>
        <w:rPr>
          <w:rStyle w:val="Strong"/>
        </w:rPr>
        <w:t>partial.</w:t>
      </w:r>
      <w:r>
        <w:rPr/>
        <w:t xml:space="preserve"> Room narrowing, the alignment and escalation gates are enforced; the shape gate is in shadow mode, and the Phase 2 permit is enforced per binding with no binding promoted yet; exact-action projection covers 11 tools. </w:t>
      </w:r>
    </w:p>
    <w:p>
      <w:pPr>
        <w:pStyle w:val="BodyText"/>
        <w:numPr>
          <w:ilvl w:val="0"/>
          <w:numId w:val="18"/>
        </w:numPr>
        <w:tabs>
          <w:tab w:val="clear" w:pos="1134"/>
          <w:tab w:val="left" w:pos="709" w:leader="none"/>
        </w:tabs>
        <w:bidi w:val="0"/>
        <w:ind w:hanging="283" w:left="709"/>
        <w:jc w:val="left"/>
        <w:rPr/>
      </w:pPr>
      <w:r>
        <w:rPr>
          <w:rStyle w:val="SourceText"/>
        </w:rPr>
        <w:t>GPP-Evidenced</w:t>
      </w:r>
      <w:r>
        <w:rPr/>
        <w:t xml:space="preserve">: </w:t>
      </w:r>
      <w:r>
        <w:rPr>
          <w:rStyle w:val="Strong"/>
        </w:rPr>
        <w:t>not yet.</w:t>
      </w:r>
      <w:r>
        <w:rPr/>
        <w:t xml:space="preserve"> </w:t>
      </w:r>
    </w:p>
    <w:p>
      <w:pPr>
        <w:pStyle w:val="Heading2"/>
        <w:bidi w:val="0"/>
        <w:jc w:val="left"/>
        <w:rPr/>
      </w:pPr>
      <w:r>
        <w:rPr/>
        <w:t>Annex B (informative): proposed assertions</w:t>
      </w:r>
    </w:p>
    <w:tbl>
      <w:tblPr>
        <w:tblW w:w="12259" w:type="dxa"/>
        <w:jc w:val="left"/>
        <w:tblInd w:w="0" w:type="dxa"/>
        <w:tblLayout w:type="fixed"/>
        <w:tblCellMar>
          <w:top w:w="28" w:type="dxa"/>
          <w:left w:w="28" w:type="dxa"/>
          <w:bottom w:w="28" w:type="dxa"/>
          <w:right w:w="28" w:type="dxa"/>
        </w:tblCellMar>
      </w:tblPr>
      <w:tblGrid>
        <w:gridCol w:w="1000"/>
        <w:gridCol w:w="11259"/>
      </w:tblGrid>
      <w:tr>
        <w:trPr>
          <w:tblHeader w:val="true"/>
        </w:trPr>
        <w:tc>
          <w:tcPr>
            <w:tcW w:w="1000" w:type="dxa"/>
            <w:tcBorders/>
            <w:vAlign w:val="center"/>
          </w:tcPr>
          <w:p>
            <w:pPr>
              <w:pStyle w:val="TableHeading"/>
              <w:suppressLineNumbers/>
              <w:bidi w:val="0"/>
              <w:spacing w:before="0" w:after="283"/>
              <w:jc w:val="center"/>
              <w:rPr/>
            </w:pPr>
            <w:r>
              <w:rPr/>
              <w:t>ID</w:t>
            </w:r>
          </w:p>
        </w:tc>
        <w:tc>
          <w:tcPr>
            <w:tcW w:w="11259" w:type="dxa"/>
            <w:tcBorders/>
            <w:vAlign w:val="center"/>
          </w:tcPr>
          <w:p>
            <w:pPr>
              <w:pStyle w:val="TableHeading"/>
              <w:suppressLineNumbers/>
              <w:bidi w:val="0"/>
              <w:spacing w:before="0" w:after="283"/>
              <w:jc w:val="center"/>
              <w:rPr/>
            </w:pPr>
            <w:r>
              <w:rPr/>
              <w:t>Assertion</w:t>
            </w:r>
          </w:p>
        </w:tc>
      </w:tr>
      <w:tr>
        <w:trPr/>
        <w:tc>
          <w:tcPr>
            <w:tcW w:w="1000" w:type="dxa"/>
            <w:tcBorders/>
            <w:vAlign w:val="center"/>
          </w:tcPr>
          <w:p>
            <w:pPr>
              <w:pStyle w:val="TableContents"/>
              <w:bidi w:val="0"/>
              <w:spacing w:before="0" w:after="283"/>
              <w:jc w:val="left"/>
              <w:rPr/>
            </w:pPr>
            <w:r>
              <w:rPr/>
              <w:t>GPP-001</w:t>
            </w:r>
          </w:p>
        </w:tc>
        <w:tc>
          <w:tcPr>
            <w:tcW w:w="11259" w:type="dxa"/>
            <w:tcBorders/>
            <w:vAlign w:val="center"/>
          </w:tcPr>
          <w:p>
            <w:pPr>
              <w:pStyle w:val="TableContents"/>
              <w:bidi w:val="0"/>
              <w:spacing w:before="0" w:after="283"/>
              <w:jc w:val="left"/>
              <w:rPr/>
            </w:pPr>
            <w:r>
              <w:rPr/>
              <w:t>Every stage of every shape that can reach a consequential capability has an attached binding (C-1).</w:t>
            </w:r>
          </w:p>
        </w:tc>
      </w:tr>
      <w:tr>
        <w:trPr/>
        <w:tc>
          <w:tcPr>
            <w:tcW w:w="1000" w:type="dxa"/>
            <w:tcBorders/>
            <w:vAlign w:val="center"/>
          </w:tcPr>
          <w:p>
            <w:pPr>
              <w:pStyle w:val="TableContents"/>
              <w:bidi w:val="0"/>
              <w:spacing w:before="0" w:after="283"/>
              <w:jc w:val="left"/>
              <w:rPr/>
            </w:pPr>
            <w:r>
              <w:rPr/>
              <w:t>GPP-002</w:t>
            </w:r>
          </w:p>
        </w:tc>
        <w:tc>
          <w:tcPr>
            <w:tcW w:w="11259" w:type="dxa"/>
            <w:tcBorders/>
            <w:vAlign w:val="center"/>
          </w:tcPr>
          <w:p>
            <w:pPr>
              <w:pStyle w:val="TableContents"/>
              <w:bidi w:val="0"/>
              <w:spacing w:before="0" w:after="283"/>
              <w:jc w:val="left"/>
              <w:rPr/>
            </w:pPr>
            <w:r>
              <w:rPr/>
              <w:t>Every capability token resolves to at least one enforceable grant (C-2).</w:t>
            </w:r>
          </w:p>
        </w:tc>
      </w:tr>
      <w:tr>
        <w:trPr/>
        <w:tc>
          <w:tcPr>
            <w:tcW w:w="1000" w:type="dxa"/>
            <w:tcBorders/>
            <w:vAlign w:val="center"/>
          </w:tcPr>
          <w:p>
            <w:pPr>
              <w:pStyle w:val="TableContents"/>
              <w:bidi w:val="0"/>
              <w:spacing w:before="0" w:after="283"/>
              <w:jc w:val="left"/>
              <w:rPr/>
            </w:pPr>
            <w:r>
              <w:rPr/>
              <w:t>GPP-003</w:t>
            </w:r>
          </w:p>
        </w:tc>
        <w:tc>
          <w:tcPr>
            <w:tcW w:w="11259" w:type="dxa"/>
            <w:tcBorders/>
            <w:vAlign w:val="center"/>
          </w:tcPr>
          <w:p>
            <w:pPr>
              <w:pStyle w:val="TableContents"/>
              <w:bidi w:val="0"/>
              <w:spacing w:before="0" w:after="283"/>
              <w:jc w:val="left"/>
              <w:rPr/>
            </w:pPr>
            <w:r>
              <w:rPr/>
              <w:t>Every binding names exactly one owning scope (C-3).</w:t>
            </w:r>
          </w:p>
        </w:tc>
      </w:tr>
      <w:tr>
        <w:trPr/>
        <w:tc>
          <w:tcPr>
            <w:tcW w:w="1000" w:type="dxa"/>
            <w:tcBorders/>
            <w:vAlign w:val="center"/>
          </w:tcPr>
          <w:p>
            <w:pPr>
              <w:pStyle w:val="TableContents"/>
              <w:bidi w:val="0"/>
              <w:spacing w:before="0" w:after="283"/>
              <w:jc w:val="left"/>
              <w:rPr/>
            </w:pPr>
            <w:r>
              <w:rPr/>
              <w:t>GPP-004</w:t>
            </w:r>
          </w:p>
        </w:tc>
        <w:tc>
          <w:tcPr>
            <w:tcW w:w="11259" w:type="dxa"/>
            <w:tcBorders/>
            <w:vAlign w:val="center"/>
          </w:tcPr>
          <w:p>
            <w:pPr>
              <w:pStyle w:val="TableContents"/>
              <w:bidi w:val="0"/>
              <w:spacing w:before="0" w:after="283"/>
              <w:jc w:val="left"/>
              <w:rPr/>
            </w:pPr>
            <w:r>
              <w:rPr/>
              <w:t xml:space="preserve">A preference score cannot convert a hard-constraint refusal into </w:t>
            </w:r>
            <w:r>
              <w:rPr>
                <w:rStyle w:val="SourceText"/>
              </w:rPr>
              <w:t>admit</w:t>
            </w:r>
            <w:r>
              <w:rPr/>
              <w:t>.</w:t>
            </w:r>
          </w:p>
        </w:tc>
      </w:tr>
      <w:tr>
        <w:trPr/>
        <w:tc>
          <w:tcPr>
            <w:tcW w:w="1000" w:type="dxa"/>
            <w:tcBorders/>
            <w:vAlign w:val="center"/>
          </w:tcPr>
          <w:p>
            <w:pPr>
              <w:pStyle w:val="TableContents"/>
              <w:bidi w:val="0"/>
              <w:spacing w:before="0" w:after="283"/>
              <w:jc w:val="left"/>
              <w:rPr/>
            </w:pPr>
            <w:r>
              <w:rPr/>
              <w:t>GPP-005</w:t>
            </w:r>
          </w:p>
        </w:tc>
        <w:tc>
          <w:tcPr>
            <w:tcW w:w="11259" w:type="dxa"/>
            <w:tcBorders/>
            <w:vAlign w:val="center"/>
          </w:tcPr>
          <w:p>
            <w:pPr>
              <w:pStyle w:val="TableContents"/>
              <w:bidi w:val="0"/>
              <w:spacing w:before="0" w:after="283"/>
              <w:jc w:val="left"/>
              <w:rPr/>
            </w:pPr>
            <w:r>
              <w:rPr/>
              <w:t xml:space="preserve">Missing evidence yields </w:t>
            </w:r>
            <w:r>
              <w:rPr>
                <w:rStyle w:val="SourceText"/>
              </w:rPr>
              <w:t>hold</w:t>
            </w:r>
            <w:r>
              <w:rPr/>
              <w:t xml:space="preserve"> and missing authority yields </w:t>
            </w:r>
            <w:r>
              <w:rPr>
                <w:rStyle w:val="SourceText"/>
              </w:rPr>
              <w:t>escalate</w:t>
            </w:r>
            <w:r>
              <w:rPr/>
              <w:t xml:space="preserve">; neither yields </w:t>
            </w:r>
            <w:r>
              <w:rPr>
                <w:rStyle w:val="SourceText"/>
              </w:rPr>
              <w:t>admit</w:t>
            </w:r>
            <w:r>
              <w:rPr/>
              <w:t>.</w:t>
            </w:r>
          </w:p>
        </w:tc>
      </w:tr>
      <w:tr>
        <w:trPr/>
        <w:tc>
          <w:tcPr>
            <w:tcW w:w="1000" w:type="dxa"/>
            <w:tcBorders/>
            <w:vAlign w:val="center"/>
          </w:tcPr>
          <w:p>
            <w:pPr>
              <w:pStyle w:val="TableContents"/>
              <w:bidi w:val="0"/>
              <w:spacing w:before="0" w:after="283"/>
              <w:jc w:val="left"/>
              <w:rPr/>
            </w:pPr>
            <w:r>
              <w:rPr/>
              <w:t>GPP-006</w:t>
            </w:r>
          </w:p>
        </w:tc>
        <w:tc>
          <w:tcPr>
            <w:tcW w:w="11259" w:type="dxa"/>
            <w:tcBorders/>
            <w:vAlign w:val="center"/>
          </w:tcPr>
          <w:p>
            <w:pPr>
              <w:pStyle w:val="TableContents"/>
              <w:bidi w:val="0"/>
              <w:spacing w:before="0" w:after="283"/>
              <w:jc w:val="left"/>
              <w:rPr/>
            </w:pPr>
            <w:r>
              <w:rPr/>
              <w:t>A tool outside the envelope is absent from discovery and refused at execution.</w:t>
            </w:r>
          </w:p>
        </w:tc>
      </w:tr>
      <w:tr>
        <w:trPr/>
        <w:tc>
          <w:tcPr>
            <w:tcW w:w="1000" w:type="dxa"/>
            <w:tcBorders/>
            <w:vAlign w:val="center"/>
          </w:tcPr>
          <w:p>
            <w:pPr>
              <w:pStyle w:val="TableContents"/>
              <w:bidi w:val="0"/>
              <w:spacing w:before="0" w:after="283"/>
              <w:jc w:val="left"/>
              <w:rPr/>
            </w:pPr>
            <w:r>
              <w:rPr/>
              <w:t>GPP-007</w:t>
            </w:r>
          </w:p>
        </w:tc>
        <w:tc>
          <w:tcPr>
            <w:tcW w:w="11259" w:type="dxa"/>
            <w:tcBorders/>
            <w:vAlign w:val="center"/>
          </w:tcPr>
          <w:p>
            <w:pPr>
              <w:pStyle w:val="TableContents"/>
              <w:bidi w:val="0"/>
              <w:spacing w:before="0" w:after="283"/>
              <w:jc w:val="left"/>
              <w:rPr/>
            </w:pPr>
            <w:r>
              <w:rPr/>
              <w:t xml:space="preserve">A decision recorded against binding version </w:t>
            </w:r>
            <w:r>
              <w:rPr>
                <w:rStyle w:val="Emphasis"/>
              </w:rPr>
              <w:t>n</w:t>
            </w:r>
            <w:r>
              <w:rPr/>
              <w:t xml:space="preserve"> does not admit calls under version </w:t>
            </w:r>
            <w:r>
              <w:rPr>
                <w:rStyle w:val="Emphasis"/>
              </w:rPr>
              <w:t>n+1</w:t>
            </w:r>
            <w:r>
              <w:rPr/>
              <w:t>.</w:t>
            </w:r>
          </w:p>
        </w:tc>
      </w:tr>
      <w:tr>
        <w:trPr/>
        <w:tc>
          <w:tcPr>
            <w:tcW w:w="1000" w:type="dxa"/>
            <w:tcBorders/>
            <w:vAlign w:val="center"/>
          </w:tcPr>
          <w:p>
            <w:pPr>
              <w:pStyle w:val="TableContents"/>
              <w:bidi w:val="0"/>
              <w:spacing w:before="0" w:after="283"/>
              <w:jc w:val="left"/>
              <w:rPr/>
            </w:pPr>
            <w:r>
              <w:rPr/>
              <w:t>GPP-008</w:t>
            </w:r>
          </w:p>
        </w:tc>
        <w:tc>
          <w:tcPr>
            <w:tcW w:w="11259" w:type="dxa"/>
            <w:tcBorders/>
            <w:vAlign w:val="center"/>
          </w:tcPr>
          <w:p>
            <w:pPr>
              <w:pStyle w:val="TableContents"/>
              <w:bidi w:val="0"/>
              <w:spacing w:before="0" w:after="283"/>
              <w:jc w:val="left"/>
              <w:rPr/>
            </w:pPr>
            <w:r>
              <w:rPr/>
              <w:t>Revocation takes effect at the next reach.</w:t>
            </w:r>
          </w:p>
        </w:tc>
      </w:tr>
      <w:tr>
        <w:trPr/>
        <w:tc>
          <w:tcPr>
            <w:tcW w:w="1000" w:type="dxa"/>
            <w:tcBorders/>
            <w:vAlign w:val="center"/>
          </w:tcPr>
          <w:p>
            <w:pPr>
              <w:pStyle w:val="TableContents"/>
              <w:bidi w:val="0"/>
              <w:spacing w:before="0" w:after="283"/>
              <w:jc w:val="left"/>
              <w:rPr/>
            </w:pPr>
            <w:r>
              <w:rPr/>
              <w:t>GPP-009</w:t>
            </w:r>
          </w:p>
        </w:tc>
        <w:tc>
          <w:tcPr>
            <w:tcW w:w="11259" w:type="dxa"/>
            <w:tcBorders/>
            <w:vAlign w:val="center"/>
          </w:tcPr>
          <w:p>
            <w:pPr>
              <w:pStyle w:val="TableContents"/>
              <w:bidi w:val="0"/>
              <w:spacing w:before="0" w:after="283"/>
              <w:jc w:val="left"/>
              <w:rPr/>
            </w:pPr>
            <w:r>
              <w:rPr/>
              <w:t>An envelope combining untrusted input, sensitive access and state change requires the §8 gate mode.</w:t>
            </w:r>
          </w:p>
        </w:tc>
      </w:tr>
      <w:tr>
        <w:trPr/>
        <w:tc>
          <w:tcPr>
            <w:tcW w:w="1000" w:type="dxa"/>
            <w:tcBorders/>
            <w:vAlign w:val="center"/>
          </w:tcPr>
          <w:p>
            <w:pPr>
              <w:pStyle w:val="TableContents"/>
              <w:bidi w:val="0"/>
              <w:spacing w:before="0" w:after="283"/>
              <w:jc w:val="left"/>
              <w:rPr/>
            </w:pPr>
            <w:r>
              <w:rPr/>
              <w:t>GPP-010</w:t>
            </w:r>
          </w:p>
        </w:tc>
        <w:tc>
          <w:tcPr>
            <w:tcW w:w="11259" w:type="dxa"/>
            <w:tcBorders/>
            <w:vAlign w:val="center"/>
          </w:tcPr>
          <w:p>
            <w:pPr>
              <w:pStyle w:val="TableContents"/>
              <w:bidi w:val="0"/>
              <w:spacing w:before="0" w:after="283"/>
              <w:jc w:val="left"/>
              <w:rPr/>
            </w:pPr>
            <w:r>
              <w:rPr/>
              <w:t>Every tool reachable at runtime for an actor in a stage is admitted by a binding (C-6).</w:t>
            </w:r>
          </w:p>
        </w:tc>
      </w:tr>
      <w:tr>
        <w:trPr/>
        <w:tc>
          <w:tcPr>
            <w:tcW w:w="1000" w:type="dxa"/>
            <w:tcBorders/>
            <w:vAlign w:val="center"/>
          </w:tcPr>
          <w:p>
            <w:pPr>
              <w:pStyle w:val="TableContents"/>
              <w:bidi w:val="0"/>
              <w:spacing w:before="0" w:after="283"/>
              <w:jc w:val="left"/>
              <w:rPr/>
            </w:pPr>
            <w:r>
              <w:rPr/>
              <w:t>GPP-011</w:t>
            </w:r>
          </w:p>
        </w:tc>
        <w:tc>
          <w:tcPr>
            <w:tcW w:w="11259" w:type="dxa"/>
            <w:tcBorders/>
            <w:vAlign w:val="center"/>
          </w:tcPr>
          <w:p>
            <w:pPr>
              <w:pStyle w:val="TableContents"/>
              <w:bidi w:val="0"/>
              <w:spacing w:before="0" w:after="283"/>
              <w:jc w:val="left"/>
              <w:rPr/>
            </w:pPr>
            <w:r>
              <w:rPr/>
              <w:t>A shadow-mode binding is never reported as enforced (C-7).</w:t>
            </w:r>
          </w:p>
        </w:tc>
      </w:tr>
      <w:tr>
        <w:trPr/>
        <w:tc>
          <w:tcPr>
            <w:tcW w:w="1000" w:type="dxa"/>
            <w:tcBorders/>
            <w:vAlign w:val="center"/>
          </w:tcPr>
          <w:p>
            <w:pPr>
              <w:pStyle w:val="TableContents"/>
              <w:bidi w:val="0"/>
              <w:spacing w:before="0" w:after="283"/>
              <w:jc w:val="left"/>
              <w:rPr/>
            </w:pPr>
            <w:r>
              <w:rPr/>
              <w:t>GPP-012</w:t>
            </w:r>
          </w:p>
        </w:tc>
        <w:tc>
          <w:tcPr>
            <w:tcW w:w="11259" w:type="dxa"/>
            <w:tcBorders/>
            <w:vAlign w:val="center"/>
          </w:tcPr>
          <w:p>
            <w:pPr>
              <w:pStyle w:val="TableContents"/>
              <w:bidi w:val="0"/>
              <w:spacing w:before="0" w:after="283"/>
              <w:jc w:val="left"/>
              <w:rPr/>
            </w:pPr>
            <w:r>
              <w:rPr/>
              <w:t>Each consequential receipt resolves to its binding version and gate decision.</w:t>
            </w:r>
          </w:p>
        </w:tc>
      </w:tr>
      <w:tr>
        <w:trPr/>
        <w:tc>
          <w:tcPr>
            <w:tcW w:w="1000" w:type="dxa"/>
            <w:tcBorders/>
            <w:vAlign w:val="center"/>
          </w:tcPr>
          <w:p>
            <w:pPr>
              <w:pStyle w:val="TableContents"/>
              <w:bidi w:val="0"/>
              <w:spacing w:before="0" w:after="283"/>
              <w:jc w:val="left"/>
              <w:rPr/>
            </w:pPr>
            <w:r>
              <w:rPr/>
              <w:t>GPP-013</w:t>
            </w:r>
          </w:p>
        </w:tc>
        <w:tc>
          <w:tcPr>
            <w:tcW w:w="11259" w:type="dxa"/>
            <w:tcBorders/>
            <w:vAlign w:val="center"/>
          </w:tcPr>
          <w:p>
            <w:pPr>
              <w:pStyle w:val="TableContents"/>
              <w:bidi w:val="0"/>
              <w:spacing w:before="0" w:after="283"/>
              <w:jc w:val="left"/>
              <w:rPr/>
            </w:pPr>
            <w:r>
              <w:rPr/>
              <w:t>Every runtime path that advances a stage transition enforces the transition's declared gate set (C-8).</w:t>
            </w:r>
          </w:p>
        </w:tc>
      </w:tr>
      <w:tr>
        <w:trPr/>
        <w:tc>
          <w:tcPr>
            <w:tcW w:w="1000" w:type="dxa"/>
            <w:tcBorders/>
            <w:vAlign w:val="center"/>
          </w:tcPr>
          <w:p>
            <w:pPr>
              <w:pStyle w:val="TableContents"/>
              <w:bidi w:val="0"/>
              <w:spacing w:before="0" w:after="283"/>
              <w:jc w:val="left"/>
              <w:rPr/>
            </w:pPr>
            <w:r>
              <w:rPr/>
              <w:t>GPP-014</w:t>
            </w:r>
          </w:p>
        </w:tc>
        <w:tc>
          <w:tcPr>
            <w:tcW w:w="11259" w:type="dxa"/>
            <w:tcBorders/>
            <w:vAlign w:val="center"/>
          </w:tcPr>
          <w:p>
            <w:pPr>
              <w:pStyle w:val="TableContents"/>
              <w:bidi w:val="0"/>
              <w:spacing w:before="0" w:after="283"/>
              <w:jc w:val="left"/>
              <w:rPr/>
            </w:pPr>
            <w:r>
              <w:rPr/>
              <w:t>A live Workroom's runtime view resolves each node to its design element identifier and version (V-3).</w:t>
            </w:r>
          </w:p>
        </w:tc>
      </w:tr>
      <w:tr>
        <w:trPr/>
        <w:tc>
          <w:tcPr>
            <w:tcW w:w="1000" w:type="dxa"/>
            <w:tcBorders/>
            <w:vAlign w:val="center"/>
          </w:tcPr>
          <w:p>
            <w:pPr>
              <w:pStyle w:val="TableContents"/>
              <w:bidi w:val="0"/>
              <w:spacing w:before="0" w:after="283"/>
              <w:jc w:val="left"/>
              <w:rPr/>
            </w:pPr>
            <w:r>
              <w:rPr/>
              <w:t>GPP-015</w:t>
            </w:r>
          </w:p>
        </w:tc>
        <w:tc>
          <w:tcPr>
            <w:tcW w:w="11259" w:type="dxa"/>
            <w:tcBorders/>
            <w:vAlign w:val="center"/>
          </w:tcPr>
          <w:p>
            <w:pPr>
              <w:pStyle w:val="TableContents"/>
              <w:bidi w:val="0"/>
              <w:spacing w:before="0" w:after="283"/>
              <w:jc w:val="left"/>
              <w:rPr/>
            </w:pPr>
            <w:r>
              <w:rPr/>
              <w:t>Every side-effecting tool is reachable only through the reference monitor, or its path is on the shrink-only list (C-9).</w:t>
            </w:r>
          </w:p>
        </w:tc>
      </w:tr>
    </w:tbl>
    <w:p>
      <w:pPr>
        <w:pStyle w:val="BodyText"/>
        <w:bidi w:val="0"/>
        <w:jc w:val="left"/>
        <w:rPr/>
      </w:pPr>
      <w:r>
        <w:rPr/>
        <w:t>These are assessment designs. None has been executed by writing this draft. Executable form belongs with the family's conformance work (BI-2AB781FA).</w:t>
      </w:r>
    </w:p>
    <w:p>
      <w:pPr>
        <w:pStyle w:val="Heading2"/>
        <w:bidi w:val="0"/>
        <w:jc w:val="left"/>
        <w:rPr/>
      </w:pPr>
      <w:r>
        <w:rPr/>
        <w:t>Annex C (informative): Build Studio as a GPP model</w:t>
      </w:r>
    </w:p>
    <w:p>
      <w:pPr>
        <w:pStyle w:val="BodyText"/>
        <w:bidi w:val="0"/>
        <w:jc w:val="left"/>
        <w:rPr/>
      </w:pPr>
      <w:r>
        <w:rPr/>
        <w:t xml:space="preserve">Build Studio is DPF's own delivery flow: the path by which an idea becomes reviewed, merged and shipped platform change. Its phases, transitions and per-phase tool permissions are the most fully defined workroom flow DPF ships, so it is the first worked example. Everything below was read from repository source at </w:t>
      </w:r>
      <w:r>
        <w:rPr>
          <w:rStyle w:val="SourceText"/>
        </w:rPr>
        <w:t>02aca6a234</w:t>
      </w:r>
      <w:r>
        <w:rPr/>
        <w:t xml:space="preserve"> on 2026-10-01. Each element states its mode. The annex models what exists and does not claim that the model is complete.</w:t>
      </w:r>
    </w:p>
    <w:p>
      <w:pPr>
        <w:pStyle w:val="Heading3"/>
        <w:bidi w:val="0"/>
        <w:jc w:val="left"/>
        <w:rPr/>
      </w:pPr>
      <w:r>
        <w:rPr/>
        <w:t>C.1 The model</w:t>
      </w:r>
    </w:p>
    <w:p>
      <w:pPr>
        <w:pStyle w:val="BodyText"/>
        <w:bidi w:val="0"/>
        <w:jc w:val="left"/>
        <w:rPr/>
      </w:pPr>
      <w:r>
        <w:rPr/>
        <w:drawing>
          <wp:inline distT="0" distB="0" distL="0" distR="0">
            <wp:extent cx="12458700" cy="119024400"/>
            <wp:effectExtent l="0" t="0" r="0" b="0"/>
            <wp:docPr id="3" name="Image3" descr="Diagra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Diagram 3"/>
                    <pic:cNvPicPr>
                      <a:picLocks noChangeAspect="1" noChangeArrowheads="1"/>
                    </pic:cNvPicPr>
                  </pic:nvPicPr>
                  <pic:blipFill>
                    <a:blip r:embed="rId16"/>
                    <a:stretch>
                      <a:fillRect/>
                    </a:stretch>
                  </pic:blipFill>
                  <pic:spPr bwMode="auto">
                    <a:xfrm>
                      <a:off x="0" y="0"/>
                      <a:ext cx="12458700" cy="119024400"/>
                    </a:xfrm>
                    <a:prstGeom prst="rect">
                      <a:avLst/>
                    </a:prstGeom>
                    <a:noFill/>
                  </pic:spPr>
                </pic:pic>
              </a:graphicData>
            </a:graphic>
          </wp:inline>
        </w:drawing>
      </w:r>
    </w:p>
    <w:tbl>
      <w:tblPr>
        <w:tblW w:w="47040" w:type="dxa"/>
        <w:jc w:val="left"/>
        <w:tblInd w:w="0" w:type="dxa"/>
        <w:tblLayout w:type="fixed"/>
        <w:tblCellMar>
          <w:top w:w="28" w:type="dxa"/>
          <w:left w:w="28" w:type="dxa"/>
          <w:bottom w:w="28" w:type="dxa"/>
          <w:right w:w="28" w:type="dxa"/>
        </w:tblCellMar>
      </w:tblPr>
      <w:tblGrid>
        <w:gridCol w:w="854"/>
        <w:gridCol w:w="6881"/>
        <w:gridCol w:w="14652"/>
        <w:gridCol w:w="11500"/>
        <w:gridCol w:w="7301"/>
        <w:gridCol w:w="5852"/>
      </w:tblGrid>
      <w:tr>
        <w:trPr>
          <w:tblHeader w:val="true"/>
        </w:trPr>
        <w:tc>
          <w:tcPr>
            <w:tcW w:w="854" w:type="dxa"/>
            <w:tcBorders/>
            <w:vAlign w:val="center"/>
          </w:tcPr>
          <w:p>
            <w:pPr>
              <w:pStyle w:val="TableHeading"/>
              <w:suppressLineNumbers/>
              <w:bidi w:val="0"/>
              <w:spacing w:before="0" w:after="283"/>
              <w:jc w:val="center"/>
              <w:rPr/>
            </w:pPr>
            <w:r>
              <w:rPr/>
              <w:t>Stage</w:t>
            </w:r>
          </w:p>
        </w:tc>
        <w:tc>
          <w:tcPr>
            <w:tcW w:w="6881" w:type="dxa"/>
            <w:tcBorders/>
            <w:vAlign w:val="center"/>
          </w:tcPr>
          <w:p>
            <w:pPr>
              <w:pStyle w:val="TableHeading"/>
              <w:suppressLineNumbers/>
              <w:bidi w:val="0"/>
              <w:spacing w:before="0" w:after="283"/>
              <w:jc w:val="center"/>
              <w:rPr/>
            </w:pPr>
            <w:r>
              <w:rPr/>
              <w:t>Accountable</w:t>
            </w:r>
          </w:p>
        </w:tc>
        <w:tc>
          <w:tcPr>
            <w:tcW w:w="14652" w:type="dxa"/>
            <w:tcBorders/>
            <w:vAlign w:val="center"/>
          </w:tcPr>
          <w:p>
            <w:pPr>
              <w:pStyle w:val="TableHeading"/>
              <w:suppressLineNumbers/>
              <w:bidi w:val="0"/>
              <w:spacing w:before="0" w:after="283"/>
              <w:jc w:val="center"/>
              <w:rPr/>
            </w:pPr>
            <w:r>
              <w:rPr/>
              <w:t>Transition gate into the next stage (scope, mode)</w:t>
            </w:r>
          </w:p>
        </w:tc>
        <w:tc>
          <w:tcPr>
            <w:tcW w:w="11500" w:type="dxa"/>
            <w:tcBorders/>
            <w:vAlign w:val="center"/>
          </w:tcPr>
          <w:p>
            <w:pPr>
              <w:pStyle w:val="TableHeading"/>
              <w:suppressLineNumbers/>
              <w:bidi w:val="0"/>
              <w:spacing w:before="0" w:after="283"/>
              <w:jc w:val="center"/>
              <w:rPr/>
            </w:pPr>
            <w:r>
              <w:rPr/>
              <w:t>Capability set: admitted / withheld</w:t>
            </w:r>
          </w:p>
        </w:tc>
        <w:tc>
          <w:tcPr>
            <w:tcW w:w="7301" w:type="dxa"/>
            <w:tcBorders/>
            <w:vAlign w:val="center"/>
          </w:tcPr>
          <w:p>
            <w:pPr>
              <w:pStyle w:val="TableHeading"/>
              <w:suppressLineNumbers/>
              <w:bidi w:val="0"/>
              <w:spacing w:before="0" w:after="283"/>
              <w:jc w:val="center"/>
              <w:rPr/>
            </w:pPr>
            <w:r>
              <w:rPr/>
              <w:t>Human checkpoint</w:t>
            </w:r>
          </w:p>
        </w:tc>
        <w:tc>
          <w:tcPr>
            <w:tcW w:w="5852" w:type="dxa"/>
            <w:tcBorders/>
            <w:vAlign w:val="center"/>
          </w:tcPr>
          <w:p>
            <w:pPr>
              <w:pStyle w:val="TableHeading"/>
              <w:suppressLineNumbers/>
              <w:bidi w:val="0"/>
              <w:spacing w:before="0" w:after="283"/>
              <w:jc w:val="center"/>
              <w:rPr/>
            </w:pPr>
            <w:r>
              <w:rPr/>
              <w:t>Evidence to exit</w:t>
            </w:r>
          </w:p>
        </w:tc>
      </w:tr>
      <w:tr>
        <w:trPr/>
        <w:tc>
          <w:tcPr>
            <w:tcW w:w="854" w:type="dxa"/>
            <w:tcBorders/>
            <w:vAlign w:val="center"/>
          </w:tcPr>
          <w:p>
            <w:pPr>
              <w:pStyle w:val="TableContents"/>
              <w:bidi w:val="0"/>
              <w:spacing w:before="0" w:after="283"/>
              <w:jc w:val="left"/>
              <w:rPr/>
            </w:pPr>
            <w:r>
              <w:rPr/>
              <w:t>Ideate</w:t>
            </w:r>
          </w:p>
        </w:tc>
        <w:tc>
          <w:tcPr>
            <w:tcW w:w="6881" w:type="dxa"/>
            <w:tcBorders/>
            <w:vAlign w:val="center"/>
          </w:tcPr>
          <w:p>
            <w:pPr>
              <w:pStyle w:val="TableContents"/>
              <w:bidi w:val="0"/>
              <w:spacing w:before="0" w:after="283"/>
              <w:jc w:val="left"/>
              <w:rPr/>
            </w:pPr>
            <w:r>
              <w:rPr/>
              <w:t>Build specialist and orchestrator; architecture and data-architect consults are advisory</w:t>
            </w:r>
          </w:p>
        </w:tc>
        <w:tc>
          <w:tcPr>
            <w:tcW w:w="14652" w:type="dxa"/>
            <w:tcBorders/>
            <w:vAlign w:val="center"/>
          </w:tcPr>
          <w:p>
            <w:pPr>
              <w:pStyle w:val="TableContents"/>
              <w:bidi w:val="0"/>
              <w:spacing w:before="0" w:after="283"/>
              <w:jc w:val="left"/>
              <w:rPr/>
            </w:pPr>
            <w:r>
              <w:rPr/>
              <w:t>WWMD ideate-start gate (</w:t>
            </w:r>
            <w:r>
              <w:rPr>
                <w:rStyle w:val="SourceText"/>
              </w:rPr>
              <w:t>build-studio-ship-gate.ts</w:t>
            </w:r>
            <w:r>
              <w:rPr/>
              <w:t>), runs only when the autonomous playbook mode is on</w:t>
            </w:r>
          </w:p>
        </w:tc>
        <w:tc>
          <w:tcPr>
            <w:tcW w:w="11500" w:type="dxa"/>
            <w:tcBorders/>
            <w:vAlign w:val="center"/>
          </w:tcPr>
          <w:p>
            <w:pPr>
              <w:pStyle w:val="TableContents"/>
              <w:bidi w:val="0"/>
              <w:spacing w:before="0" w:after="283"/>
              <w:jc w:val="left"/>
              <w:rPr/>
            </w:pPr>
            <w:r>
              <w:rPr/>
              <w:t xml:space="preserve">Research, brief, </w:t>
            </w:r>
            <w:r>
              <w:rPr>
                <w:rStyle w:val="SourceText"/>
              </w:rPr>
              <w:t>reviewDesignDoc</w:t>
            </w:r>
            <w:r>
              <w:rPr/>
              <w:t>, decomposition, project reads. Withheld: sandbox writes, ship tools, the decision-gate tools themselves</w:t>
            </w:r>
          </w:p>
        </w:tc>
        <w:tc>
          <w:tcPr>
            <w:tcW w:w="7301" w:type="dxa"/>
            <w:tcBorders/>
            <w:vAlign w:val="center"/>
          </w:tcPr>
          <w:p>
            <w:pPr>
              <w:pStyle w:val="TableContents"/>
              <w:bidi w:val="0"/>
              <w:spacing w:before="0" w:after="283"/>
              <w:jc w:val="left"/>
              <w:rPr/>
            </w:pPr>
            <w:r>
              <w:rPr/>
              <w:t>Approve Start; business brief accepted</w:t>
            </w:r>
          </w:p>
        </w:tc>
        <w:tc>
          <w:tcPr>
            <w:tcW w:w="5852" w:type="dxa"/>
            <w:tcBorders/>
            <w:vAlign w:val="center"/>
          </w:tcPr>
          <w:p>
            <w:pPr>
              <w:pStyle w:val="TableContents"/>
              <w:bidi w:val="0"/>
              <w:spacing w:before="0" w:after="283"/>
              <w:jc w:val="left"/>
              <w:rPr/>
            </w:pPr>
            <w:r>
              <w:rPr/>
              <w:t xml:space="preserve">Design doc; design review passed; intake ready; readiness lane </w:t>
            </w:r>
            <w:r>
              <w:rPr>
                <w:rStyle w:val="SourceText"/>
              </w:rPr>
              <w:t>plan</w:t>
            </w:r>
          </w:p>
        </w:tc>
      </w:tr>
      <w:tr>
        <w:trPr/>
        <w:tc>
          <w:tcPr>
            <w:tcW w:w="854" w:type="dxa"/>
            <w:tcBorders/>
            <w:vAlign w:val="center"/>
          </w:tcPr>
          <w:p>
            <w:pPr>
              <w:pStyle w:val="TableContents"/>
              <w:bidi w:val="0"/>
              <w:spacing w:before="0" w:after="283"/>
              <w:jc w:val="left"/>
              <w:rPr/>
            </w:pPr>
            <w:r>
              <w:rPr/>
              <w:t>Plan</w:t>
            </w:r>
          </w:p>
        </w:tc>
        <w:tc>
          <w:tcPr>
            <w:tcW w:w="6881" w:type="dxa"/>
            <w:tcBorders/>
            <w:vAlign w:val="center"/>
          </w:tcPr>
          <w:p>
            <w:pPr>
              <w:pStyle w:val="TableContents"/>
              <w:bidi w:val="0"/>
              <w:spacing w:before="0" w:after="283"/>
              <w:jc w:val="left"/>
              <w:rPr/>
            </w:pPr>
            <w:r>
              <w:rPr/>
              <w:t>Enterprise architect and orchestrator</w:t>
            </w:r>
          </w:p>
        </w:tc>
        <w:tc>
          <w:tcPr>
            <w:tcW w:w="14652" w:type="dxa"/>
            <w:tcBorders/>
            <w:vAlign w:val="center"/>
          </w:tcPr>
          <w:p>
            <w:pPr>
              <w:pStyle w:val="TableContents"/>
              <w:bidi w:val="0"/>
              <w:spacing w:before="0" w:after="283"/>
              <w:jc w:val="left"/>
              <w:rPr/>
            </w:pPr>
            <w:r>
              <w:rPr>
                <w:rStyle w:val="Strong"/>
              </w:rPr>
              <w:t>WWMD plan-advancement gate</w:t>
            </w:r>
            <w:r>
              <w:rPr/>
              <w:t xml:space="preserve"> (</w:t>
            </w:r>
            <w:r>
              <w:rPr>
                <w:rStyle w:val="SourceText"/>
              </w:rPr>
              <w:t>build-studio-gate.ts</w:t>
            </w:r>
            <w:r>
              <w:rPr/>
              <w:t xml:space="preserve">), </w:t>
            </w:r>
            <w:r>
              <w:rPr>
                <w:rStyle w:val="Strong"/>
              </w:rPr>
              <w:t>blocking</w:t>
            </w:r>
            <w:r>
              <w:rPr/>
              <w:t xml:space="preserve">. WSID acumen consults are </w:t>
            </w:r>
            <w:r>
              <w:rPr>
                <w:rStyle w:val="Strong"/>
              </w:rPr>
              <w:t>advisory</w:t>
            </w:r>
            <w:r>
              <w:rPr/>
              <w:t>, chosen by the files touched. Plus evidence and readiness checks.</w:t>
            </w:r>
          </w:p>
        </w:tc>
        <w:tc>
          <w:tcPr>
            <w:tcW w:w="11500" w:type="dxa"/>
            <w:tcBorders/>
            <w:vAlign w:val="center"/>
          </w:tcPr>
          <w:p>
            <w:pPr>
              <w:pStyle w:val="TableContents"/>
              <w:bidi w:val="0"/>
              <w:spacing w:before="0" w:after="283"/>
              <w:jc w:val="left"/>
              <w:rPr/>
            </w:pPr>
            <w:r>
              <w:rPr>
                <w:rStyle w:val="SourceText"/>
              </w:rPr>
              <w:t>reviewBuildPlan</w:t>
            </w:r>
            <w:r>
              <w:rPr/>
              <w:t>, project reads. Withheld: sandbox writes</w:t>
            </w:r>
          </w:p>
        </w:tc>
        <w:tc>
          <w:tcPr>
            <w:tcW w:w="7301" w:type="dxa"/>
            <w:tcBorders/>
            <w:vAlign w:val="center"/>
          </w:tcPr>
          <w:p>
            <w:pPr>
              <w:pStyle w:val="TableContents"/>
              <w:bidi w:val="0"/>
              <w:spacing w:before="0" w:after="283"/>
              <w:jc w:val="left"/>
              <w:rPr/>
            </w:pPr>
            <w:r>
              <w:rPr/>
              <w:t xml:space="preserve">WWMD </w:t>
            </w:r>
            <w:r>
              <w:rPr>
                <w:rStyle w:val="SourceText"/>
              </w:rPr>
              <w:t>escalate</w:t>
            </w:r>
            <w:r>
              <w:rPr/>
              <w:t xml:space="preserve"> goes to the owner</w:t>
            </w:r>
          </w:p>
        </w:tc>
        <w:tc>
          <w:tcPr>
            <w:tcW w:w="5852" w:type="dxa"/>
            <w:tcBorders/>
            <w:vAlign w:val="center"/>
          </w:tcPr>
          <w:p>
            <w:pPr>
              <w:pStyle w:val="TableContents"/>
              <w:bidi w:val="0"/>
              <w:spacing w:before="0" w:after="283"/>
              <w:jc w:val="left"/>
              <w:rPr/>
            </w:pPr>
            <w:r>
              <w:rPr/>
              <w:t xml:space="preserve">Build plan; plan review passed; readiness lane </w:t>
            </w:r>
            <w:r>
              <w:rPr>
                <w:rStyle w:val="SourceText"/>
              </w:rPr>
              <w:t>implementation</w:t>
            </w:r>
          </w:p>
        </w:tc>
      </w:tr>
      <w:tr>
        <w:trPr/>
        <w:tc>
          <w:tcPr>
            <w:tcW w:w="854" w:type="dxa"/>
            <w:tcBorders/>
            <w:vAlign w:val="center"/>
          </w:tcPr>
          <w:p>
            <w:pPr>
              <w:pStyle w:val="TableContents"/>
              <w:bidi w:val="0"/>
              <w:spacing w:before="0" w:after="283"/>
              <w:jc w:val="left"/>
              <w:rPr/>
            </w:pPr>
            <w:r>
              <w:rPr/>
              <w:t>Build</w:t>
            </w:r>
          </w:p>
        </w:tc>
        <w:tc>
          <w:tcPr>
            <w:tcW w:w="6881" w:type="dxa"/>
            <w:tcBorders/>
            <w:vAlign w:val="center"/>
          </w:tcPr>
          <w:p>
            <w:pPr>
              <w:pStyle w:val="TableContents"/>
              <w:bidi w:val="0"/>
              <w:spacing w:before="0" w:after="283"/>
              <w:jc w:val="left"/>
              <w:rPr/>
            </w:pPr>
            <w:r>
              <w:rPr/>
              <w:t>Build orchestrator with software, frontend, data, QA and docs specialists</w:t>
            </w:r>
          </w:p>
        </w:tc>
        <w:tc>
          <w:tcPr>
            <w:tcW w:w="14652" w:type="dxa"/>
            <w:tcBorders/>
            <w:vAlign w:val="center"/>
          </w:tcPr>
          <w:p>
            <w:pPr>
              <w:pStyle w:val="TableContents"/>
              <w:bidi w:val="0"/>
              <w:spacing w:before="0" w:after="283"/>
              <w:jc w:val="left"/>
              <w:rPr/>
            </w:pPr>
            <w:r>
              <w:rPr/>
              <w:t>Evidence only</w:t>
            </w:r>
          </w:p>
        </w:tc>
        <w:tc>
          <w:tcPr>
            <w:tcW w:w="11500" w:type="dxa"/>
            <w:tcBorders/>
            <w:vAlign w:val="center"/>
          </w:tcPr>
          <w:p>
            <w:pPr>
              <w:pStyle w:val="TableContents"/>
              <w:bidi w:val="0"/>
              <w:spacing w:before="0" w:after="283"/>
              <w:jc w:val="left"/>
              <w:rPr/>
            </w:pPr>
            <w:r>
              <w:rPr/>
              <w:t xml:space="preserve">Sandbox read, write, edit, run and test; </w:t>
            </w:r>
            <w:r>
              <w:rPr>
                <w:rStyle w:val="SourceText"/>
              </w:rPr>
              <w:t>validate_schema</w:t>
            </w:r>
            <w:r>
              <w:rPr/>
              <w:t xml:space="preserve">; </w:t>
            </w:r>
            <w:r>
              <w:rPr>
                <w:rStyle w:val="SourceText"/>
              </w:rPr>
              <w:t>propose_file_change</w:t>
            </w:r>
            <w:r>
              <w:rPr/>
              <w:t>. Withheld: ship tools</w:t>
            </w:r>
          </w:p>
        </w:tc>
        <w:tc>
          <w:tcPr>
            <w:tcW w:w="7301" w:type="dxa"/>
            <w:tcBorders/>
            <w:vAlign w:val="center"/>
          </w:tcPr>
          <w:p>
            <w:pPr>
              <w:pStyle w:val="TableContents"/>
              <w:bidi w:val="0"/>
              <w:spacing w:before="0" w:after="283"/>
              <w:jc w:val="left"/>
              <w:rPr/>
            </w:pPr>
            <w:r>
              <w:rPr/>
              <w:t>None</w:t>
            </w:r>
          </w:p>
        </w:tc>
        <w:tc>
          <w:tcPr>
            <w:tcW w:w="5852" w:type="dxa"/>
            <w:tcBorders/>
            <w:vAlign w:val="center"/>
          </w:tcPr>
          <w:p>
            <w:pPr>
              <w:pStyle w:val="TableContents"/>
              <w:bidi w:val="0"/>
              <w:spacing w:before="0" w:after="283"/>
              <w:jc w:val="left"/>
              <w:rPr/>
            </w:pPr>
            <w:r>
              <w:rPr/>
              <w:t>Typecheck passed; at least one releasable source change</w:t>
            </w:r>
          </w:p>
        </w:tc>
      </w:tr>
      <w:tr>
        <w:trPr/>
        <w:tc>
          <w:tcPr>
            <w:tcW w:w="854" w:type="dxa"/>
            <w:tcBorders/>
            <w:vAlign w:val="center"/>
          </w:tcPr>
          <w:p>
            <w:pPr>
              <w:pStyle w:val="TableContents"/>
              <w:bidi w:val="0"/>
              <w:spacing w:before="0" w:after="283"/>
              <w:jc w:val="left"/>
              <w:rPr/>
            </w:pPr>
            <w:r>
              <w:rPr/>
              <w:t>Review</w:t>
            </w:r>
          </w:p>
        </w:tc>
        <w:tc>
          <w:tcPr>
            <w:tcW w:w="6881" w:type="dxa"/>
            <w:tcBorders/>
            <w:vAlign w:val="center"/>
          </w:tcPr>
          <w:p>
            <w:pPr>
              <w:pStyle w:val="TableContents"/>
              <w:bidi w:val="0"/>
              <w:spacing w:before="0" w:after="283"/>
              <w:jc w:val="left"/>
              <w:rPr/>
            </w:pPr>
            <w:r>
              <w:rPr/>
              <w:t>Operations coordinator; change reviewer</w:t>
            </w:r>
          </w:p>
        </w:tc>
        <w:tc>
          <w:tcPr>
            <w:tcW w:w="14652" w:type="dxa"/>
            <w:tcBorders/>
            <w:vAlign w:val="center"/>
          </w:tcPr>
          <w:p>
            <w:pPr>
              <w:pStyle w:val="TableContents"/>
              <w:bidi w:val="0"/>
              <w:spacing w:before="0" w:after="283"/>
              <w:jc w:val="left"/>
              <w:rPr/>
            </w:pPr>
            <w:r>
              <w:rPr/>
              <w:t>Evidence only; UX verification is queued on entry</w:t>
            </w:r>
          </w:p>
        </w:tc>
        <w:tc>
          <w:tcPr>
            <w:tcW w:w="11500" w:type="dxa"/>
            <w:tcBorders/>
            <w:vAlign w:val="center"/>
          </w:tcPr>
          <w:p>
            <w:pPr>
              <w:pStyle w:val="TableContents"/>
              <w:bidi w:val="0"/>
              <w:spacing w:before="0" w:after="283"/>
              <w:jc w:val="left"/>
              <w:rPr/>
            </w:pPr>
            <w:r>
              <w:rPr>
                <w:rStyle w:val="SourceText"/>
              </w:rPr>
              <w:t>evaluate_page</w:t>
            </w:r>
            <w:r>
              <w:rPr/>
              <w:t>, semantic review, impact inspection; sandbox still writable. Rework returns to Build.</w:t>
            </w:r>
          </w:p>
        </w:tc>
        <w:tc>
          <w:tcPr>
            <w:tcW w:w="7301" w:type="dxa"/>
            <w:tcBorders/>
            <w:vAlign w:val="center"/>
          </w:tcPr>
          <w:p>
            <w:pPr>
              <w:pStyle w:val="TableContents"/>
              <w:bidi w:val="0"/>
              <w:spacing w:before="0" w:after="283"/>
              <w:jc w:val="left"/>
              <w:rPr/>
            </w:pPr>
            <w:r>
              <w:rPr/>
              <w:t>Acceptance recorded; UX override requires a written reason</w:t>
            </w:r>
          </w:p>
        </w:tc>
        <w:tc>
          <w:tcPr>
            <w:tcW w:w="5852" w:type="dxa"/>
            <w:tcBorders/>
            <w:vAlign w:val="center"/>
          </w:tcPr>
          <w:p>
            <w:pPr>
              <w:pStyle w:val="TableContents"/>
              <w:bidi w:val="0"/>
              <w:spacing w:before="0" w:after="283"/>
              <w:jc w:val="left"/>
              <w:rPr/>
            </w:pPr>
            <w:r>
              <w:rPr/>
              <w:t>Acceptance met; UX verification not blocking</w:t>
            </w:r>
          </w:p>
        </w:tc>
      </w:tr>
      <w:tr>
        <w:trPr/>
        <w:tc>
          <w:tcPr>
            <w:tcW w:w="854" w:type="dxa"/>
            <w:tcBorders/>
            <w:vAlign w:val="center"/>
          </w:tcPr>
          <w:p>
            <w:pPr>
              <w:pStyle w:val="TableContents"/>
              <w:bidi w:val="0"/>
              <w:spacing w:before="0" w:after="283"/>
              <w:jc w:val="left"/>
              <w:rPr/>
            </w:pPr>
            <w:r>
              <w:rPr/>
              <w:t>Ship</w:t>
            </w:r>
          </w:p>
        </w:tc>
        <w:tc>
          <w:tcPr>
            <w:tcW w:w="6881" w:type="dxa"/>
            <w:tcBorders/>
            <w:vAlign w:val="center"/>
          </w:tcPr>
          <w:p>
            <w:pPr>
              <w:pStyle w:val="TableContents"/>
              <w:bidi w:val="0"/>
              <w:spacing w:before="0" w:after="283"/>
              <w:jc w:val="left"/>
              <w:rPr/>
            </w:pPr>
            <w:r>
              <w:rPr/>
              <w:t>Platform engineer and release orchestrators</w:t>
            </w:r>
          </w:p>
        </w:tc>
        <w:tc>
          <w:tcPr>
            <w:tcW w:w="14652" w:type="dxa"/>
            <w:tcBorders/>
            <w:vAlign w:val="center"/>
          </w:tcPr>
          <w:p>
            <w:pPr>
              <w:pStyle w:val="TableContents"/>
              <w:bidi w:val="0"/>
              <w:spacing w:before="0" w:after="283"/>
              <w:jc w:val="left"/>
              <w:rPr/>
            </w:pPr>
            <w:r>
              <w:rPr>
                <w:rStyle w:val="Strong"/>
              </w:rPr>
              <w:t>WWMD ship gate</w:t>
            </w:r>
            <w:r>
              <w:rPr/>
              <w:t xml:space="preserve"> (risk assessment): blocking in </w:t>
            </w:r>
            <w:r>
              <w:rPr>
                <w:rStyle w:val="SourceText"/>
              </w:rPr>
              <w:t>enforce</w:t>
            </w:r>
            <w:r>
              <w:rPr/>
              <w:t xml:space="preserve"> mode only, otherwise shadow. WSID consults are advisory.</w:t>
            </w:r>
          </w:p>
        </w:tc>
        <w:tc>
          <w:tcPr>
            <w:tcW w:w="11500" w:type="dxa"/>
            <w:tcBorders/>
            <w:vAlign w:val="center"/>
          </w:tcPr>
          <w:p>
            <w:pPr>
              <w:pStyle w:val="TableContents"/>
              <w:bidi w:val="0"/>
              <w:spacing w:before="0" w:after="283"/>
              <w:jc w:val="left"/>
              <w:rPr/>
            </w:pPr>
            <w:r>
              <w:rPr>
                <w:rStyle w:val="SourceText"/>
              </w:rPr>
              <w:t>create_portal_pr</w:t>
            </w:r>
            <w:r>
              <w:rPr/>
              <w:t xml:space="preserve">, </w:t>
            </w:r>
            <w:r>
              <w:rPr>
                <w:rStyle w:val="SourceText"/>
              </w:rPr>
              <w:t>deploy_feature</w:t>
            </w:r>
            <w:r>
              <w:rPr/>
              <w:t>, promotion and release tools</w:t>
            </w:r>
          </w:p>
        </w:tc>
        <w:tc>
          <w:tcPr>
            <w:tcW w:w="7301" w:type="dxa"/>
            <w:tcBorders/>
            <w:vAlign w:val="center"/>
          </w:tcPr>
          <w:p>
            <w:pPr>
              <w:pStyle w:val="TableContents"/>
              <w:bidi w:val="0"/>
              <w:spacing w:before="0" w:after="283"/>
              <w:jc w:val="left"/>
              <w:rPr/>
            </w:pPr>
            <w:r>
              <w:rPr/>
              <w:t xml:space="preserve">PR checks and merge queue; the delivery shape's </w:t>
            </w:r>
            <w:r>
              <w:rPr>
                <w:rStyle w:val="SourceText"/>
              </w:rPr>
              <w:t>delivery-acceptance</w:t>
            </w:r>
            <w:r>
              <w:rPr/>
              <w:t xml:space="preserve"> decision</w:t>
            </w:r>
          </w:p>
        </w:tc>
        <w:tc>
          <w:tcPr>
            <w:tcW w:w="5852" w:type="dxa"/>
            <w:tcBorders/>
            <w:vAlign w:val="center"/>
          </w:tcPr>
          <w:p>
            <w:pPr>
              <w:pStyle w:val="TableContents"/>
              <w:bidi w:val="0"/>
              <w:spacing w:before="0" w:after="283"/>
              <w:jc w:val="left"/>
              <w:rPr/>
            </w:pPr>
            <w:r>
              <w:rPr/>
              <w:t xml:space="preserve">PR, merged SHA, promotion; readiness lane </w:t>
            </w:r>
            <w:r>
              <w:rPr>
                <w:rStyle w:val="SourceText"/>
              </w:rPr>
              <w:t>completion</w:t>
            </w:r>
          </w:p>
        </w:tc>
      </w:tr>
    </w:tbl>
    <w:p>
      <w:pPr>
        <w:pStyle w:val="BodyText"/>
        <w:bidi w:val="0"/>
        <w:jc w:val="left"/>
        <w:rPr/>
      </w:pPr>
      <w:r>
        <w:rPr>
          <w:rStyle w:val="Strong"/>
        </w:rPr>
        <w:t>Where each part of the model lives today:</w:t>
      </w:r>
    </w:p>
    <w:tbl>
      <w:tblPr>
        <w:tblW w:w="21618" w:type="dxa"/>
        <w:jc w:val="left"/>
        <w:tblInd w:w="0" w:type="dxa"/>
        <w:tblLayout w:type="fixed"/>
        <w:tblCellMar>
          <w:top w:w="28" w:type="dxa"/>
          <w:left w:w="28" w:type="dxa"/>
          <w:bottom w:w="28" w:type="dxa"/>
          <w:right w:w="28" w:type="dxa"/>
        </w:tblCellMar>
      </w:tblPr>
      <w:tblGrid>
        <w:gridCol w:w="8854"/>
        <w:gridCol w:w="12764"/>
      </w:tblGrid>
      <w:tr>
        <w:trPr>
          <w:tblHeader w:val="true"/>
        </w:trPr>
        <w:tc>
          <w:tcPr>
            <w:tcW w:w="8854" w:type="dxa"/>
            <w:tcBorders/>
            <w:vAlign w:val="center"/>
          </w:tcPr>
          <w:p>
            <w:pPr>
              <w:pStyle w:val="TableHeading"/>
              <w:suppressLineNumbers/>
              <w:bidi w:val="0"/>
              <w:spacing w:before="0" w:after="283"/>
              <w:jc w:val="center"/>
              <w:rPr/>
            </w:pPr>
            <w:r>
              <w:rPr/>
              <w:t>Part</w:t>
            </w:r>
          </w:p>
        </w:tc>
        <w:tc>
          <w:tcPr>
            <w:tcW w:w="12764" w:type="dxa"/>
            <w:tcBorders/>
            <w:vAlign w:val="center"/>
          </w:tcPr>
          <w:p>
            <w:pPr>
              <w:pStyle w:val="TableHeading"/>
              <w:suppressLineNumbers/>
              <w:bidi w:val="0"/>
              <w:spacing w:before="0" w:after="283"/>
              <w:jc w:val="center"/>
              <w:rPr/>
            </w:pPr>
            <w:r>
              <w:rPr/>
              <w:t>Source</w:t>
            </w:r>
          </w:p>
        </w:tc>
      </w:tr>
      <w:tr>
        <w:trPr/>
        <w:tc>
          <w:tcPr>
            <w:tcW w:w="8854" w:type="dxa"/>
            <w:tcBorders/>
            <w:vAlign w:val="center"/>
          </w:tcPr>
          <w:p>
            <w:pPr>
              <w:pStyle w:val="TableContents"/>
              <w:bidi w:val="0"/>
              <w:spacing w:before="0" w:after="283"/>
              <w:jc w:val="left"/>
              <w:rPr/>
            </w:pPr>
            <w:r>
              <w:rPr/>
              <w:t>Phases and allowed transitions</w:t>
            </w:r>
          </w:p>
        </w:tc>
        <w:tc>
          <w:tcPr>
            <w:tcW w:w="12764" w:type="dxa"/>
            <w:tcBorders/>
            <w:vAlign w:val="center"/>
          </w:tcPr>
          <w:p>
            <w:pPr>
              <w:pStyle w:val="TableContents"/>
              <w:bidi w:val="0"/>
              <w:spacing w:before="0" w:after="283"/>
              <w:jc w:val="left"/>
              <w:rPr/>
            </w:pPr>
            <w:r>
              <w:rPr>
                <w:rStyle w:val="SourceText"/>
              </w:rPr>
              <w:t>PHASE_ORDER</w:t>
            </w:r>
            <w:r>
              <w:rPr/>
              <w:t xml:space="preserve"> and </w:t>
            </w:r>
            <w:r>
              <w:rPr>
                <w:rStyle w:val="SourceText"/>
              </w:rPr>
              <w:t>ALLOWED_TRANSITIONS</w:t>
            </w:r>
            <w:r>
              <w:rPr/>
              <w:t xml:space="preserve"> in </w:t>
            </w:r>
            <w:r>
              <w:rPr>
                <w:rStyle w:val="SourceText"/>
              </w:rPr>
              <w:t>apps/web/lib/explore/feature-build-types.ts</w:t>
            </w:r>
          </w:p>
        </w:tc>
      </w:tr>
      <w:tr>
        <w:trPr/>
        <w:tc>
          <w:tcPr>
            <w:tcW w:w="8854" w:type="dxa"/>
            <w:tcBorders/>
            <w:vAlign w:val="center"/>
          </w:tcPr>
          <w:p>
            <w:pPr>
              <w:pStyle w:val="TableContents"/>
              <w:bidi w:val="0"/>
              <w:spacing w:before="0" w:after="283"/>
              <w:jc w:val="left"/>
              <w:rPr/>
            </w:pPr>
            <w:r>
              <w:rPr/>
              <w:t>Evidence gates per transition</w:t>
            </w:r>
          </w:p>
        </w:tc>
        <w:tc>
          <w:tcPr>
            <w:tcW w:w="12764" w:type="dxa"/>
            <w:tcBorders/>
            <w:vAlign w:val="center"/>
          </w:tcPr>
          <w:p>
            <w:pPr>
              <w:pStyle w:val="TableContents"/>
              <w:bidi w:val="0"/>
              <w:spacing w:before="0" w:after="283"/>
              <w:jc w:val="left"/>
              <w:rPr/>
            </w:pPr>
            <w:r>
              <w:rPr>
                <w:rStyle w:val="SourceText"/>
              </w:rPr>
              <w:t>checkPhaseGate</w:t>
            </w:r>
            <w:r>
              <w:rPr/>
              <w:t xml:space="preserve"> and </w:t>
            </w:r>
            <w:r>
              <w:rPr>
                <w:rStyle w:val="SourceText"/>
              </w:rPr>
              <w:t>DEFAULT_LIFECYCLE_MATRIX</w:t>
            </w:r>
            <w:r>
              <w:rPr/>
              <w:t xml:space="preserve"> in </w:t>
            </w:r>
            <w:r>
              <w:rPr>
                <w:rStyle w:val="SourceText"/>
              </w:rPr>
              <w:t>apps/web/lib/explore/build-process-matrix.ts</w:t>
            </w:r>
          </w:p>
        </w:tc>
      </w:tr>
      <w:tr>
        <w:trPr/>
        <w:tc>
          <w:tcPr>
            <w:tcW w:w="8854" w:type="dxa"/>
            <w:tcBorders/>
            <w:vAlign w:val="center"/>
          </w:tcPr>
          <w:p>
            <w:pPr>
              <w:pStyle w:val="TableContents"/>
              <w:bidi w:val="0"/>
              <w:spacing w:before="0" w:after="283"/>
              <w:jc w:val="left"/>
              <w:rPr/>
            </w:pPr>
            <w:r>
              <w:rPr/>
              <w:t>Canonical transition</w:t>
            </w:r>
          </w:p>
        </w:tc>
        <w:tc>
          <w:tcPr>
            <w:tcW w:w="12764" w:type="dxa"/>
            <w:tcBorders/>
            <w:vAlign w:val="center"/>
          </w:tcPr>
          <w:p>
            <w:pPr>
              <w:pStyle w:val="TableContents"/>
              <w:bidi w:val="0"/>
              <w:spacing w:before="0" w:after="283"/>
              <w:jc w:val="left"/>
              <w:rPr/>
            </w:pPr>
            <w:r>
              <w:rPr>
                <w:rStyle w:val="SourceText"/>
              </w:rPr>
              <w:t>advanceBuildPhase</w:t>
            </w:r>
            <w:r>
              <w:rPr/>
              <w:t xml:space="preserve"> in </w:t>
            </w:r>
            <w:r>
              <w:rPr>
                <w:rStyle w:val="SourceText"/>
              </w:rPr>
              <w:t>apps/web/lib/actions/build.ts</w:t>
            </w:r>
          </w:p>
        </w:tc>
      </w:tr>
      <w:tr>
        <w:trPr/>
        <w:tc>
          <w:tcPr>
            <w:tcW w:w="8854" w:type="dxa"/>
            <w:tcBorders/>
            <w:vAlign w:val="center"/>
          </w:tcPr>
          <w:p>
            <w:pPr>
              <w:pStyle w:val="TableContents"/>
              <w:bidi w:val="0"/>
              <w:spacing w:before="0" w:after="283"/>
              <w:jc w:val="left"/>
              <w:rPr/>
            </w:pPr>
            <w:r>
              <w:rPr/>
              <w:t xml:space="preserve">WWMD gates (gate key </w:t>
            </w:r>
            <w:r>
              <w:rPr>
                <w:rStyle w:val="SourceText"/>
              </w:rPr>
              <w:t>build-studio</w:t>
            </w:r>
            <w:r>
              <w:rPr/>
              <w:t>, mapped to WWMD by the authority projector)</w:t>
            </w:r>
          </w:p>
        </w:tc>
        <w:tc>
          <w:tcPr>
            <w:tcW w:w="12764" w:type="dxa"/>
            <w:tcBorders/>
            <w:vAlign w:val="center"/>
          </w:tcPr>
          <w:p>
            <w:pPr>
              <w:pStyle w:val="TableContents"/>
              <w:bidi w:val="0"/>
              <w:spacing w:before="0" w:after="283"/>
              <w:jc w:val="left"/>
              <w:rPr/>
            </w:pPr>
            <w:r>
              <w:rPr>
                <w:rStyle w:val="SourceText"/>
              </w:rPr>
              <w:t>build-studio-gate.ts</w:t>
            </w:r>
            <w:r>
              <w:rPr/>
              <w:t xml:space="preserve">, </w:t>
            </w:r>
            <w:r>
              <w:rPr>
                <w:rStyle w:val="SourceText"/>
              </w:rPr>
              <w:t>build-studio-ship-gate.ts</w:t>
            </w:r>
          </w:p>
        </w:tc>
      </w:tr>
      <w:tr>
        <w:trPr/>
        <w:tc>
          <w:tcPr>
            <w:tcW w:w="8854" w:type="dxa"/>
            <w:tcBorders/>
            <w:vAlign w:val="center"/>
          </w:tcPr>
          <w:p>
            <w:pPr>
              <w:pStyle w:val="TableContents"/>
              <w:bidi w:val="0"/>
              <w:spacing w:before="0" w:after="283"/>
              <w:jc w:val="left"/>
              <w:rPr/>
            </w:pPr>
            <w:r>
              <w:rPr/>
              <w:t>WSID advisory consults</w:t>
            </w:r>
          </w:p>
        </w:tc>
        <w:tc>
          <w:tcPr>
            <w:tcW w:w="12764" w:type="dxa"/>
            <w:tcBorders/>
            <w:vAlign w:val="center"/>
          </w:tcPr>
          <w:p>
            <w:pPr>
              <w:pStyle w:val="TableContents"/>
              <w:bidi w:val="0"/>
              <w:spacing w:before="0" w:after="283"/>
              <w:jc w:val="left"/>
              <w:rPr/>
            </w:pPr>
            <w:r>
              <w:rPr>
                <w:rStyle w:val="SourceText"/>
              </w:rPr>
              <w:t>acumen-phase-consult.ts</w:t>
            </w:r>
            <w:r>
              <w:rPr/>
              <w:t xml:space="preserve">, </w:t>
            </w:r>
            <w:r>
              <w:rPr>
                <w:rStyle w:val="SourceText"/>
              </w:rPr>
              <w:t>acumen-impact.ts</w:t>
            </w:r>
          </w:p>
        </w:tc>
      </w:tr>
      <w:tr>
        <w:trPr/>
        <w:tc>
          <w:tcPr>
            <w:tcW w:w="8854" w:type="dxa"/>
            <w:tcBorders/>
            <w:vAlign w:val="center"/>
          </w:tcPr>
          <w:p>
            <w:pPr>
              <w:pStyle w:val="TableContents"/>
              <w:bidi w:val="0"/>
              <w:spacing w:before="0" w:after="283"/>
              <w:jc w:val="left"/>
              <w:rPr/>
            </w:pPr>
            <w:r>
              <w:rPr/>
              <w:t>Capability sets</w:t>
            </w:r>
          </w:p>
        </w:tc>
        <w:tc>
          <w:tcPr>
            <w:tcW w:w="12764" w:type="dxa"/>
            <w:tcBorders/>
            <w:vAlign w:val="center"/>
          </w:tcPr>
          <w:p>
            <w:pPr>
              <w:pStyle w:val="TableContents"/>
              <w:bidi w:val="0"/>
              <w:spacing w:before="0" w:after="283"/>
              <w:jc w:val="left"/>
              <w:rPr/>
            </w:pPr>
            <w:r>
              <w:rPr>
                <w:rStyle w:val="SourceText"/>
              </w:rPr>
              <w:t>buildPhases</w:t>
            </w:r>
            <w:r>
              <w:rPr/>
              <w:t xml:space="preserve"> tags on each MCP tool, applied by </w:t>
            </w:r>
            <w:r>
              <w:rPr>
                <w:rStyle w:val="SourceText"/>
              </w:rPr>
              <w:t>filterToolsForCoworkerRuntime</w:t>
            </w:r>
            <w:r>
              <w:rPr/>
              <w:t xml:space="preserve"> after agent grants ∩ user capability</w:t>
            </w:r>
          </w:p>
        </w:tc>
      </w:tr>
      <w:tr>
        <w:trPr/>
        <w:tc>
          <w:tcPr>
            <w:tcW w:w="8854" w:type="dxa"/>
            <w:tcBorders/>
            <w:vAlign w:val="center"/>
          </w:tcPr>
          <w:p>
            <w:pPr>
              <w:pStyle w:val="TableContents"/>
              <w:bidi w:val="0"/>
              <w:spacing w:before="0" w:after="283"/>
              <w:jc w:val="left"/>
              <w:rPr/>
            </w:pPr>
            <w:r>
              <w:rPr/>
              <w:t>Workroom link</w:t>
            </w:r>
          </w:p>
        </w:tc>
        <w:tc>
          <w:tcPr>
            <w:tcW w:w="12764" w:type="dxa"/>
            <w:tcBorders/>
            <w:vAlign w:val="center"/>
          </w:tcPr>
          <w:p>
            <w:pPr>
              <w:pStyle w:val="TableContents"/>
              <w:bidi w:val="0"/>
              <w:spacing w:before="0" w:after="283"/>
              <w:jc w:val="left"/>
              <w:rPr/>
            </w:pPr>
            <w:r>
              <w:rPr>
                <w:rStyle w:val="SourceText"/>
              </w:rPr>
              <w:t>attachBuildStudioWorkCapsule</w:t>
            </w:r>
            <w:r>
              <w:rPr/>
              <w:t xml:space="preserve"> creates a room with executor kind </w:t>
            </w:r>
            <w:r>
              <w:rPr>
                <w:rStyle w:val="SourceText"/>
              </w:rPr>
              <w:t>build-studio</w:t>
            </w:r>
            <w:r>
              <w:rPr/>
              <w:t xml:space="preserve"> and binds the item's delivery shape</w:t>
            </w:r>
          </w:p>
        </w:tc>
      </w:tr>
    </w:tbl>
    <w:p>
      <w:pPr>
        <w:pStyle w:val="Heading3"/>
        <w:bidi w:val="0"/>
        <w:jc w:val="left"/>
        <w:rPr/>
      </w:pPr>
      <w:r>
        <w:rPr/>
        <w:t>C.2 One binding, written out</w:t>
      </w:r>
    </w:p>
    <w:p>
      <w:pPr>
        <w:pStyle w:val="BodyText"/>
        <w:bidi w:val="0"/>
        <w:jc w:val="left"/>
        <w:rPr/>
      </w:pPr>
      <w:r>
        <w:rPr/>
        <w:t>The plan → build transition, expressed in the §12.1 notation. This is a model of what exists, not a new configuration.</w:t>
      </w:r>
    </w:p>
    <w:p>
      <w:pPr>
        <w:pStyle w:val="PreformattedText"/>
        <w:bidi w:val="0"/>
        <w:jc w:val="left"/>
        <w:rPr/>
      </w:pPr>
      <w:r>
        <w:rPr>
          <w:rStyle w:val="SourceText"/>
        </w:rPr>
        <w:t>gatedPermission:</w:t>
      </w:r>
    </w:p>
    <w:p>
      <w:pPr>
        <w:pStyle w:val="PreformattedText"/>
        <w:bidi w:val="0"/>
        <w:jc w:val="left"/>
        <w:rPr/>
      </w:pPr>
      <w:r>
        <w:rPr>
          <w:rStyle w:val="SourceText"/>
        </w:rPr>
        <w:t xml:space="preserve">  </w:t>
      </w:r>
      <w:r>
        <w:rPr>
          <w:rStyle w:val="SourceText"/>
        </w:rPr>
        <w:t>id: gp.build-studio.build.sandbox-write</w:t>
      </w:r>
    </w:p>
    <w:p>
      <w:pPr>
        <w:pStyle w:val="PreformattedText"/>
        <w:bidi w:val="0"/>
        <w:jc w:val="left"/>
        <w:rPr/>
      </w:pPr>
      <w:r>
        <w:rPr>
          <w:rStyle w:val="SourceText"/>
        </w:rPr>
        <w:t xml:space="preserve">  </w:t>
      </w:r>
      <w:r>
        <w:rPr>
          <w:rStyle w:val="SourceText"/>
        </w:rPr>
        <w:t>version: 0.1.0-model</w:t>
      </w:r>
    </w:p>
    <w:p>
      <w:pPr>
        <w:pStyle w:val="PreformattedText"/>
        <w:bidi w:val="0"/>
        <w:jc w:val="left"/>
        <w:rPr/>
      </w:pPr>
      <w:r>
        <w:rPr>
          <w:rStyle w:val="SourceText"/>
        </w:rPr>
        <w:t xml:space="preserve">  </w:t>
      </w:r>
      <w:r>
        <w:rPr>
          <w:rStyle w:val="SourceText"/>
        </w:rPr>
        <w:t>attach: { flow: build-studio, stage: build }</w:t>
      </w:r>
    </w:p>
    <w:p>
      <w:pPr>
        <w:pStyle w:val="PreformattedText"/>
        <w:bidi w:val="0"/>
        <w:jc w:val="left"/>
        <w:rPr/>
      </w:pPr>
      <w:r>
        <w:rPr>
          <w:rStyle w:val="SourceText"/>
        </w:rPr>
        <w:t xml:space="preserve">  </w:t>
      </w:r>
      <w:r>
        <w:rPr>
          <w:rStyle w:val="SourceText"/>
        </w:rPr>
        <w:t>scope: WWMD</w:t>
      </w:r>
    </w:p>
    <w:p>
      <w:pPr>
        <w:pStyle w:val="PreformattedText"/>
        <w:bidi w:val="0"/>
        <w:jc w:val="left"/>
        <w:rPr/>
      </w:pPr>
      <w:r>
        <w:rPr>
          <w:rStyle w:val="SourceText"/>
        </w:rPr>
        <w:t xml:space="preserve">  </w:t>
      </w:r>
      <w:r>
        <w:rPr>
          <w:rStyle w:val="SourceText"/>
        </w:rPr>
        <w:t>gate:</w:t>
      </w:r>
    </w:p>
    <w:p>
      <w:pPr>
        <w:pStyle w:val="PreformattedText"/>
        <w:bidi w:val="0"/>
        <w:jc w:val="left"/>
        <w:rPr/>
      </w:pPr>
      <w:r>
        <w:rPr>
          <w:rStyle w:val="SourceText"/>
        </w:rPr>
        <w:t xml:space="preserve">    </w:t>
      </w:r>
      <w:r>
        <w:rPr>
          <w:rStyle w:val="SourceText"/>
        </w:rPr>
        <w:t>key: build-studio            # evaluator gate key, projected to WWMD</w:t>
      </w:r>
    </w:p>
    <w:p>
      <w:pPr>
        <w:pStyle w:val="PreformattedText"/>
        <w:bidi w:val="0"/>
        <w:jc w:val="left"/>
        <w:rPr/>
      </w:pPr>
      <w:r>
        <w:rPr>
          <w:rStyle w:val="SourceText"/>
        </w:rPr>
        <w:t xml:space="preserve">    </w:t>
      </w:r>
      <w:r>
        <w:rPr>
          <w:rStyle w:val="SourceText"/>
        </w:rPr>
        <w:t>question: Start implementation from the reviewed plan?</w:t>
      </w:r>
    </w:p>
    <w:p>
      <w:pPr>
        <w:pStyle w:val="PreformattedText"/>
        <w:bidi w:val="0"/>
        <w:jc w:val="left"/>
        <w:rPr/>
      </w:pPr>
      <w:r>
        <w:rPr>
          <w:rStyle w:val="SourceText"/>
        </w:rPr>
        <w:t xml:space="preserve">    </w:t>
      </w:r>
      <w:r>
        <w:rPr>
          <w:rStyle w:val="SourceText"/>
        </w:rPr>
        <w:t>options: [start, revise-plan, escalate-to-owner]</w:t>
      </w:r>
    </w:p>
    <w:p>
      <w:pPr>
        <w:pStyle w:val="PreformattedText"/>
        <w:bidi w:val="0"/>
        <w:jc w:val="left"/>
        <w:rPr/>
      </w:pPr>
      <w:r>
        <w:rPr>
          <w:rStyle w:val="SourceText"/>
        </w:rPr>
        <w:t xml:space="preserve">    </w:t>
      </w:r>
      <w:r>
        <w:rPr>
          <w:rStyle w:val="SourceText"/>
        </w:rPr>
        <w:t>mode: doctrine-then-human    # escalate goes to the Build Studio owner</w:t>
      </w:r>
    </w:p>
    <w:p>
      <w:pPr>
        <w:pStyle w:val="PreformattedText"/>
        <w:bidi w:val="0"/>
        <w:jc w:val="left"/>
        <w:rPr/>
      </w:pPr>
      <w:r>
        <w:rPr>
          <w:rStyle w:val="SourceText"/>
        </w:rPr>
        <w:t xml:space="preserve">    </w:t>
      </w:r>
      <w:r>
        <w:rPr>
          <w:rStyle w:val="SourceText"/>
        </w:rPr>
        <w:t>blocking: true</w:t>
      </w:r>
    </w:p>
    <w:p>
      <w:pPr>
        <w:pStyle w:val="PreformattedText"/>
        <w:bidi w:val="0"/>
        <w:jc w:val="left"/>
        <w:rPr/>
      </w:pPr>
      <w:r>
        <w:rPr>
          <w:rStyle w:val="SourceText"/>
        </w:rPr>
        <w:t xml:space="preserve">  </w:t>
      </w:r>
      <w:r>
        <w:rPr>
          <w:rStyle w:val="SourceText"/>
        </w:rPr>
        <w:t>advisory:</w:t>
      </w:r>
    </w:p>
    <w:p>
      <w:pPr>
        <w:pStyle w:val="PreformattedText"/>
        <w:bidi w:val="0"/>
        <w:jc w:val="left"/>
        <w:rPr/>
      </w:pPr>
      <w:r>
        <w:rPr>
          <w:rStyle w:val="SourceText"/>
        </w:rPr>
        <w:t xml:space="preserve">    </w:t>
      </w:r>
      <w:r>
        <w:rPr>
          <w:rStyle w:val="SourceText"/>
        </w:rPr>
        <w:t>- scope: WSID                # acumen consults, chosen by the paths touched</w:t>
      </w:r>
    </w:p>
    <w:p>
      <w:pPr>
        <w:pStyle w:val="PreformattedText"/>
        <w:bidi w:val="0"/>
        <w:jc w:val="left"/>
        <w:rPr/>
      </w:pPr>
      <w:r>
        <w:rPr>
          <w:rStyle w:val="SourceText"/>
        </w:rPr>
        <w:t xml:space="preserve">      </w:t>
      </w:r>
      <w:r>
        <w:rPr>
          <w:rStyle w:val="SourceText"/>
        </w:rPr>
        <w:t>blocking: false</w:t>
      </w:r>
    </w:p>
    <w:p>
      <w:pPr>
        <w:pStyle w:val="PreformattedText"/>
        <w:bidi w:val="0"/>
        <w:jc w:val="left"/>
        <w:rPr/>
      </w:pPr>
      <w:r>
        <w:rPr>
          <w:rStyle w:val="SourceText"/>
        </w:rPr>
        <w:t xml:space="preserve">  </w:t>
      </w:r>
      <w:r>
        <w:rPr>
          <w:rStyle w:val="SourceText"/>
        </w:rPr>
        <w:t>capabilities: [read, write-source-sandbox, run-tests, schema-validate]</w:t>
      </w:r>
    </w:p>
    <w:p>
      <w:pPr>
        <w:pStyle w:val="PreformattedText"/>
        <w:bidi w:val="0"/>
        <w:jc w:val="left"/>
        <w:rPr/>
      </w:pPr>
      <w:r>
        <w:rPr>
          <w:rStyle w:val="SourceText"/>
        </w:rPr>
        <w:t xml:space="preserve">  </w:t>
      </w:r>
      <w:r>
        <w:rPr>
          <w:rStyle w:val="SourceText"/>
        </w:rPr>
        <w:t>subject: { sandbox: build-scoped }</w:t>
      </w:r>
    </w:p>
    <w:p>
      <w:pPr>
        <w:pStyle w:val="PreformattedText"/>
        <w:bidi w:val="0"/>
        <w:jc w:val="left"/>
        <w:rPr/>
      </w:pPr>
      <w:r>
        <w:rPr>
          <w:rStyle w:val="SourceText"/>
        </w:rPr>
        <w:t xml:space="preserve">  </w:t>
      </w:r>
      <w:r>
        <w:rPr>
          <w:rStyle w:val="SourceText"/>
        </w:rPr>
        <w:t>preconditions:</w:t>
      </w:r>
    </w:p>
    <w:p>
      <w:pPr>
        <w:pStyle w:val="PreformattedText"/>
        <w:bidi w:val="0"/>
        <w:jc w:val="left"/>
        <w:rPr/>
      </w:pPr>
      <w:r>
        <w:rPr>
          <w:rStyle w:val="SourceText"/>
        </w:rPr>
        <w:t xml:space="preserve">    </w:t>
      </w:r>
      <w:r>
        <w:rPr>
          <w:rStyle w:val="SourceText"/>
        </w:rPr>
        <w:t>evidence: [buildPlan, planReview-passed, happyPathIntake-ready]</w:t>
      </w:r>
    </w:p>
    <w:p>
      <w:pPr>
        <w:pStyle w:val="PreformattedText"/>
        <w:bidi w:val="0"/>
        <w:jc w:val="left"/>
        <w:rPr/>
      </w:pPr>
      <w:r>
        <w:rPr>
          <w:rStyle w:val="SourceText"/>
        </w:rPr>
        <w:t xml:space="preserve">    </w:t>
      </w:r>
      <w:r>
        <w:rPr>
          <w:rStyle w:val="SourceText"/>
        </w:rPr>
        <w:t>readiness: implementation    # initiative-readiness lane</w:t>
      </w:r>
    </w:p>
    <w:p>
      <w:pPr>
        <w:pStyle w:val="PreformattedText"/>
        <w:bidi w:val="0"/>
        <w:jc w:val="left"/>
        <w:rPr/>
      </w:pPr>
      <w:r>
        <w:rPr>
          <w:rStyle w:val="SourceText"/>
        </w:rPr>
        <w:t xml:space="preserve">    </w:t>
      </w:r>
      <w:r>
        <w:rPr>
          <w:rStyle w:val="SourceText"/>
        </w:rPr>
        <w:t>humanApproval: approve-start</w:t>
      </w:r>
    </w:p>
    <w:p>
      <w:pPr>
        <w:pStyle w:val="PreformattedText"/>
        <w:bidi w:val="0"/>
        <w:jc w:val="left"/>
        <w:rPr/>
      </w:pPr>
      <w:r>
        <w:rPr>
          <w:rStyle w:val="SourceText"/>
        </w:rPr>
        <w:t xml:space="preserve">  </w:t>
      </w:r>
      <w:r>
        <w:rPr>
          <w:rStyle w:val="SourceText"/>
        </w:rPr>
        <w:t>validity: { until: stage-exit }</w:t>
      </w:r>
    </w:p>
    <w:p>
      <w:pPr>
        <w:pStyle w:val="PreformattedText"/>
        <w:bidi w:val="0"/>
        <w:jc w:val="left"/>
        <w:rPr/>
      </w:pPr>
      <w:r>
        <w:rPr>
          <w:rStyle w:val="SourceText"/>
        </w:rPr>
        <w:t xml:space="preserve">  </w:t>
      </w:r>
      <w:r>
        <w:rPr>
          <w:rStyle w:val="SourceText"/>
        </w:rPr>
        <w:t>stop: [build-failed, build-abandoned, rework-from-review-reenters]</w:t>
      </w:r>
    </w:p>
    <w:p>
      <w:pPr>
        <w:pStyle w:val="PreformattedText"/>
        <w:bidi w:val="0"/>
        <w:spacing w:before="0" w:after="283"/>
        <w:jc w:val="left"/>
        <w:rPr/>
      </w:pPr>
      <w:r>
        <w:rPr>
          <w:rStyle w:val="SourceText"/>
        </w:rPr>
        <w:t xml:space="preserve">  </w:t>
      </w:r>
      <w:r>
        <w:rPr>
          <w:rStyle w:val="SourceText"/>
        </w:rPr>
        <w:t>enforcement: enforced          # on the canonical path only; see C.3 item 2</w:t>
      </w:r>
    </w:p>
    <w:p>
      <w:pPr>
        <w:pStyle w:val="Heading3"/>
        <w:bidi w:val="0"/>
        <w:jc w:val="left"/>
        <w:rPr/>
      </w:pPr>
      <w:r>
        <w:rPr/>
        <w:t>C.3 What modeling it revealed</w:t>
      </w:r>
    </w:p>
    <w:p>
      <w:pPr>
        <w:pStyle w:val="BodyText"/>
        <w:bidi w:val="0"/>
        <w:jc w:val="left"/>
        <w:rPr/>
      </w:pPr>
      <w:r>
        <w:rPr/>
        <w:t>Writing the flow down as a model exposed six things that the code, read file by file, did not make obvious. This is the practical argument for MBSE.</w:t>
      </w:r>
    </w:p>
    <w:p>
      <w:pPr>
        <w:pStyle w:val="BodyText"/>
        <w:numPr>
          <w:ilvl w:val="0"/>
          <w:numId w:val="19"/>
        </w:numPr>
        <w:tabs>
          <w:tab w:val="clear" w:pos="1134"/>
          <w:tab w:val="left" w:pos="709" w:leader="none"/>
        </w:tabs>
        <w:bidi w:val="0"/>
        <w:spacing w:before="0" w:after="0"/>
        <w:ind w:hanging="283" w:left="709"/>
        <w:jc w:val="left"/>
        <w:rPr/>
      </w:pPr>
      <w:r>
        <w:rPr>
          <w:rStyle w:val="Strong"/>
        </w:rPr>
        <w:t>The model is implicit.</w:t>
      </w:r>
      <w:r>
        <w:rPr/>
        <w:t xml:space="preserve"> Build Studio's stages, gates and capability sets are spread across at least six modules. A second, parallel model, the delivery shape's stages (design-note → implement → merge → accept for a medium item), governs the same work through initiative readiness. There is no single declared artifact a reviewer can inspect. That fails §12.4.1, and it is the first thing to fix. </w:t>
      </w:r>
    </w:p>
    <w:p>
      <w:pPr>
        <w:pStyle w:val="BodyText"/>
        <w:numPr>
          <w:ilvl w:val="0"/>
          <w:numId w:val="19"/>
        </w:numPr>
        <w:tabs>
          <w:tab w:val="clear" w:pos="1134"/>
          <w:tab w:val="left" w:pos="709" w:leader="none"/>
        </w:tabs>
        <w:bidi w:val="0"/>
        <w:spacing w:before="0" w:after="0"/>
        <w:ind w:hanging="283" w:left="709"/>
        <w:jc w:val="left"/>
        <w:rPr/>
      </w:pPr>
      <w:r>
        <w:rPr>
          <w:rStyle w:val="Strong"/>
        </w:rPr>
        <w:t>One transition, two gate sets (C-8).</w:t>
      </w:r>
      <w:r>
        <w:rPr/>
        <w:t xml:space="preserve"> </w:t>
      </w:r>
      <w:r>
        <w:rPr>
          <w:rStyle w:val="SourceText"/>
        </w:rPr>
        <w:t>save_phase_handoff</w:t>
      </w:r>
      <w:r>
        <w:rPr/>
        <w:t xml:space="preserve"> is available in the plan phase and auto-advances plan → build after only the evidence check. The canonical path also enforces the blocking WWMD gate, initiative readiness and Approve Start. Recorded as BI-45F9CB7A; found by source reading, not yet reproduced at runtime. </w:t>
      </w:r>
    </w:p>
    <w:p>
      <w:pPr>
        <w:pStyle w:val="BodyText"/>
        <w:numPr>
          <w:ilvl w:val="0"/>
          <w:numId w:val="19"/>
        </w:numPr>
        <w:tabs>
          <w:tab w:val="clear" w:pos="1134"/>
          <w:tab w:val="left" w:pos="709" w:leader="none"/>
        </w:tabs>
        <w:bidi w:val="0"/>
        <w:spacing w:before="0" w:after="0"/>
        <w:ind w:hanging="283" w:left="709"/>
        <w:jc w:val="left"/>
        <w:rPr/>
      </w:pPr>
      <w:r>
        <w:rPr>
          <w:rStyle w:val="Strong"/>
        </w:rPr>
        <w:t>Accountable identity is not one thing (C-4).</w:t>
      </w:r>
      <w:r>
        <w:rPr/>
        <w:t xml:space="preserve"> The phase-handoff record and the IT4IT prompt map name different agents for the same phase, and neither ties back to the agent rows that hold tool grants. Until that is resolved, "can the stage's accountable principal own this consequence?" cannot be evaluated. </w:t>
      </w:r>
    </w:p>
    <w:p>
      <w:pPr>
        <w:pStyle w:val="BodyText"/>
        <w:numPr>
          <w:ilvl w:val="0"/>
          <w:numId w:val="19"/>
        </w:numPr>
        <w:tabs>
          <w:tab w:val="clear" w:pos="1134"/>
          <w:tab w:val="left" w:pos="709" w:leader="none"/>
        </w:tabs>
        <w:bidi w:val="0"/>
        <w:spacing w:before="0" w:after="0"/>
        <w:ind w:hanging="283" w:left="709"/>
        <w:jc w:val="left"/>
        <w:rPr/>
      </w:pPr>
      <w:r>
        <w:rPr>
          <w:rStyle w:val="Strong"/>
        </w:rPr>
        <w:t>WSID advises but never blocks, and the QA craft has no route.</w:t>
      </w:r>
      <w:r>
        <w:rPr/>
        <w:t xml:space="preserve"> Profession consults are chosen by file path, and no path rule selects the QA profession. Whether any WSID verdict should become blocking is an open decision for the platform scope, not something this annex can settle. </w:t>
      </w:r>
    </w:p>
    <w:p>
      <w:pPr>
        <w:pStyle w:val="BodyText"/>
        <w:numPr>
          <w:ilvl w:val="0"/>
          <w:numId w:val="19"/>
        </w:numPr>
        <w:tabs>
          <w:tab w:val="clear" w:pos="1134"/>
          <w:tab w:val="left" w:pos="709" w:leader="none"/>
        </w:tabs>
        <w:bidi w:val="0"/>
        <w:spacing w:before="0" w:after="0"/>
        <w:ind w:hanging="283" w:left="709"/>
        <w:jc w:val="left"/>
        <w:rPr/>
      </w:pPr>
      <w:r>
        <w:rPr>
          <w:rStyle w:val="Strong"/>
        </w:rPr>
        <w:t>The build engine's boundary is the environment, not the tool list.</w:t>
      </w:r>
      <w:r>
        <w:rPr/>
        <w:t xml:space="preserve"> The primary build path runs a coding CLI inside the build sandbox with its permission prompts disabled. The MCP phase filter does not apply there. The sandbox is the containment. That is a legitimate design, and it is the containment-first approach the market brief describes. GPP requires it to be </w:t>
      </w:r>
      <w:r>
        <w:rPr>
          <w:rStyle w:val="Strong"/>
        </w:rPr>
        <w:t>declared</w:t>
      </w:r>
      <w:r>
        <w:rPr/>
        <w:t xml:space="preserve"> as a binding whose capability set is "unrestricted inside the sandbox, nothing outside it", with its enforcement at the environment layer, rather than left implicit. </w:t>
      </w:r>
    </w:p>
    <w:p>
      <w:pPr>
        <w:pStyle w:val="BodyText"/>
        <w:numPr>
          <w:ilvl w:val="0"/>
          <w:numId w:val="19"/>
        </w:numPr>
        <w:tabs>
          <w:tab w:val="clear" w:pos="1134"/>
          <w:tab w:val="left" w:pos="709" w:leader="none"/>
        </w:tabs>
        <w:bidi w:val="0"/>
        <w:ind w:hanging="283" w:left="709"/>
        <w:jc w:val="left"/>
        <w:rPr/>
      </w:pPr>
      <w:r>
        <w:rPr>
          <w:rStyle w:val="Strong"/>
        </w:rPr>
        <w:t>The ship gate is shadow unless enforce mode is on (C-7).</w:t>
      </w:r>
      <w:r>
        <w:rPr/>
        <w:t xml:space="preserve"> Promotion is then approved automatically after </w:t>
      </w:r>
      <w:r>
        <w:rPr>
          <w:rStyle w:val="SourceText"/>
        </w:rPr>
        <w:t>deploy_feature</w:t>
      </w:r>
      <w:r>
        <w:rPr/>
        <w:t xml:space="preserve">. The model has to show that mode, and the public ledger (white paper §8) has to report it as shadow. </w:t>
      </w:r>
    </w:p>
    <w:p>
      <w:pPr>
        <w:pStyle w:val="Heading3"/>
        <w:bidi w:val="0"/>
        <w:jc w:val="left"/>
        <w:rPr/>
      </w:pPr>
      <w:r>
        <w:rPr/>
        <w:t>C.4 Path to conformance</w:t>
      </w:r>
    </w:p>
    <w:tbl>
      <w:tblPr>
        <w:tblW w:w="18427" w:type="dxa"/>
        <w:jc w:val="left"/>
        <w:tblInd w:w="0" w:type="dxa"/>
        <w:tblLayout w:type="fixed"/>
        <w:tblCellMar>
          <w:top w:w="28" w:type="dxa"/>
          <w:left w:w="28" w:type="dxa"/>
          <w:bottom w:w="28" w:type="dxa"/>
          <w:right w:w="28" w:type="dxa"/>
        </w:tblCellMar>
      </w:tblPr>
      <w:tblGrid>
        <w:gridCol w:w="574"/>
        <w:gridCol w:w="15700"/>
        <w:gridCol w:w="2153"/>
      </w:tblGrid>
      <w:tr>
        <w:trPr>
          <w:tblHeader w:val="true"/>
        </w:trPr>
        <w:tc>
          <w:tcPr>
            <w:tcW w:w="574" w:type="dxa"/>
            <w:tcBorders/>
            <w:vAlign w:val="center"/>
          </w:tcPr>
          <w:p>
            <w:pPr>
              <w:pStyle w:val="TableHeading"/>
              <w:suppressLineNumbers/>
              <w:bidi w:val="0"/>
              <w:spacing w:before="0" w:after="283"/>
              <w:jc w:val="center"/>
              <w:rPr/>
            </w:pPr>
            <w:r>
              <w:rPr/>
              <w:t>Step</w:t>
            </w:r>
          </w:p>
        </w:tc>
        <w:tc>
          <w:tcPr>
            <w:tcW w:w="15700" w:type="dxa"/>
            <w:tcBorders/>
            <w:vAlign w:val="center"/>
          </w:tcPr>
          <w:p>
            <w:pPr>
              <w:pStyle w:val="TableHeading"/>
              <w:suppressLineNumbers/>
              <w:bidi w:val="0"/>
              <w:spacing w:before="0" w:after="283"/>
              <w:jc w:val="center"/>
              <w:rPr/>
            </w:pPr>
            <w:r>
              <w:rPr/>
              <w:t>What changes</w:t>
            </w:r>
          </w:p>
        </w:tc>
        <w:tc>
          <w:tcPr>
            <w:tcW w:w="2153" w:type="dxa"/>
            <w:tcBorders/>
            <w:vAlign w:val="center"/>
          </w:tcPr>
          <w:p>
            <w:pPr>
              <w:pStyle w:val="TableHeading"/>
              <w:suppressLineNumbers/>
              <w:bidi w:val="0"/>
              <w:spacing w:before="0" w:after="283"/>
              <w:jc w:val="center"/>
              <w:rPr/>
            </w:pPr>
            <w:r>
              <w:rPr/>
              <w:t>Checks it satisfies</w:t>
            </w:r>
          </w:p>
        </w:tc>
      </w:tr>
      <w:tr>
        <w:trPr/>
        <w:tc>
          <w:tcPr>
            <w:tcW w:w="574" w:type="dxa"/>
            <w:tcBorders/>
            <w:vAlign w:val="center"/>
          </w:tcPr>
          <w:p>
            <w:pPr>
              <w:pStyle w:val="TableContents"/>
              <w:bidi w:val="0"/>
              <w:spacing w:before="0" w:after="283"/>
              <w:jc w:val="left"/>
              <w:rPr/>
            </w:pPr>
            <w:r>
              <w:rPr/>
              <w:t>1</w:t>
            </w:r>
          </w:p>
        </w:tc>
        <w:tc>
          <w:tcPr>
            <w:tcW w:w="15700" w:type="dxa"/>
            <w:tcBorders/>
            <w:vAlign w:val="center"/>
          </w:tcPr>
          <w:p>
            <w:pPr>
              <w:pStyle w:val="TableContents"/>
              <w:bidi w:val="0"/>
              <w:spacing w:before="0" w:after="283"/>
              <w:jc w:val="left"/>
              <w:rPr/>
            </w:pPr>
            <w:r>
              <w:rPr/>
              <w:t xml:space="preserve">Express the Build Studio flow as one declared work shape: stages, per-stage </w:t>
            </w:r>
            <w:r>
              <w:rPr>
                <w:rStyle w:val="SourceText"/>
              </w:rPr>
              <w:t>tools</w:t>
            </w:r>
            <w:r>
              <w:rPr/>
              <w:t>, the gate set per transition with scope and mode</w:t>
            </w:r>
          </w:p>
        </w:tc>
        <w:tc>
          <w:tcPr>
            <w:tcW w:w="2153" w:type="dxa"/>
            <w:tcBorders/>
            <w:vAlign w:val="center"/>
          </w:tcPr>
          <w:p>
            <w:pPr>
              <w:pStyle w:val="TableContents"/>
              <w:bidi w:val="0"/>
              <w:spacing w:before="0" w:after="283"/>
              <w:jc w:val="left"/>
              <w:rPr/>
            </w:pPr>
            <w:r>
              <w:rPr/>
              <w:t>§12.4.1; C-1, C-2</w:t>
            </w:r>
          </w:p>
        </w:tc>
      </w:tr>
      <w:tr>
        <w:trPr/>
        <w:tc>
          <w:tcPr>
            <w:tcW w:w="574" w:type="dxa"/>
            <w:tcBorders/>
            <w:vAlign w:val="center"/>
          </w:tcPr>
          <w:p>
            <w:pPr>
              <w:pStyle w:val="TableContents"/>
              <w:bidi w:val="0"/>
              <w:spacing w:before="0" w:after="283"/>
              <w:jc w:val="left"/>
              <w:rPr/>
            </w:pPr>
            <w:r>
              <w:rPr/>
              <w:t>2</w:t>
            </w:r>
          </w:p>
        </w:tc>
        <w:tc>
          <w:tcPr>
            <w:tcW w:w="15700" w:type="dxa"/>
            <w:tcBorders/>
            <w:vAlign w:val="center"/>
          </w:tcPr>
          <w:p>
            <w:pPr>
              <w:pStyle w:val="TableContents"/>
              <w:bidi w:val="0"/>
              <w:spacing w:before="0" w:after="283"/>
              <w:jc w:val="left"/>
              <w:rPr/>
            </w:pPr>
            <w:r>
              <w:rPr/>
              <w:t>Route every phase-changing path through one transition function. Plan → build done in GPP Phase 2 PR-F, with each path's gates unchanged; review → ship next</w:t>
            </w:r>
          </w:p>
        </w:tc>
        <w:tc>
          <w:tcPr>
            <w:tcW w:w="2153" w:type="dxa"/>
            <w:tcBorders/>
            <w:vAlign w:val="center"/>
          </w:tcPr>
          <w:p>
            <w:pPr>
              <w:pStyle w:val="TableContents"/>
              <w:bidi w:val="0"/>
              <w:spacing w:before="0" w:after="283"/>
              <w:jc w:val="left"/>
              <w:rPr/>
            </w:pPr>
            <w:r>
              <w:rPr/>
              <w:t>C-8 (BI-45F9CB7A)</w:t>
            </w:r>
          </w:p>
        </w:tc>
      </w:tr>
      <w:tr>
        <w:trPr/>
        <w:tc>
          <w:tcPr>
            <w:tcW w:w="574" w:type="dxa"/>
            <w:tcBorders/>
            <w:vAlign w:val="center"/>
          </w:tcPr>
          <w:p>
            <w:pPr>
              <w:pStyle w:val="TableContents"/>
              <w:bidi w:val="0"/>
              <w:spacing w:before="0" w:after="283"/>
              <w:jc w:val="left"/>
              <w:rPr/>
            </w:pPr>
            <w:r>
              <w:rPr/>
              <w:t>3</w:t>
            </w:r>
          </w:p>
        </w:tc>
        <w:tc>
          <w:tcPr>
            <w:tcW w:w="15700" w:type="dxa"/>
            <w:tcBorders/>
            <w:vAlign w:val="center"/>
          </w:tcPr>
          <w:p>
            <w:pPr>
              <w:pStyle w:val="TableContents"/>
              <w:bidi w:val="0"/>
              <w:spacing w:before="0" w:after="283"/>
              <w:jc w:val="left"/>
              <w:rPr/>
            </w:pPr>
            <w:r>
              <w:rPr/>
              <w:t>Bind each stage to one accountable agent identity that holds the stage's grants</w:t>
            </w:r>
          </w:p>
        </w:tc>
        <w:tc>
          <w:tcPr>
            <w:tcW w:w="2153" w:type="dxa"/>
            <w:tcBorders/>
            <w:vAlign w:val="center"/>
          </w:tcPr>
          <w:p>
            <w:pPr>
              <w:pStyle w:val="TableContents"/>
              <w:bidi w:val="0"/>
              <w:spacing w:before="0" w:after="283"/>
              <w:jc w:val="left"/>
              <w:rPr/>
            </w:pPr>
            <w:r>
              <w:rPr/>
              <w:t>C-4</w:t>
            </w:r>
          </w:p>
        </w:tc>
      </w:tr>
      <w:tr>
        <w:trPr/>
        <w:tc>
          <w:tcPr>
            <w:tcW w:w="574" w:type="dxa"/>
            <w:tcBorders/>
            <w:vAlign w:val="center"/>
          </w:tcPr>
          <w:p>
            <w:pPr>
              <w:pStyle w:val="TableContents"/>
              <w:bidi w:val="0"/>
              <w:spacing w:before="0" w:after="283"/>
              <w:jc w:val="left"/>
              <w:rPr/>
            </w:pPr>
            <w:r>
              <w:rPr/>
              <w:t>4</w:t>
            </w:r>
          </w:p>
        </w:tc>
        <w:tc>
          <w:tcPr>
            <w:tcW w:w="15700" w:type="dxa"/>
            <w:tcBorders/>
            <w:vAlign w:val="center"/>
          </w:tcPr>
          <w:p>
            <w:pPr>
              <w:pStyle w:val="TableContents"/>
              <w:bidi w:val="0"/>
              <w:spacing w:before="0" w:after="283"/>
              <w:jc w:val="left"/>
              <w:rPr/>
            </w:pPr>
            <w:r>
              <w:rPr/>
              <w:t>Declare the build-engine sandbox as an environment-enforced binding</w:t>
            </w:r>
          </w:p>
        </w:tc>
        <w:tc>
          <w:tcPr>
            <w:tcW w:w="2153" w:type="dxa"/>
            <w:tcBorders/>
            <w:vAlign w:val="center"/>
          </w:tcPr>
          <w:p>
            <w:pPr>
              <w:pStyle w:val="TableContents"/>
              <w:bidi w:val="0"/>
              <w:spacing w:before="0" w:after="283"/>
              <w:jc w:val="left"/>
              <w:rPr/>
            </w:pPr>
            <w:r>
              <w:rPr/>
              <w:t>§7 element 11; C-7</w:t>
            </w:r>
          </w:p>
        </w:tc>
      </w:tr>
      <w:tr>
        <w:trPr/>
        <w:tc>
          <w:tcPr>
            <w:tcW w:w="574" w:type="dxa"/>
            <w:tcBorders/>
            <w:vAlign w:val="center"/>
          </w:tcPr>
          <w:p>
            <w:pPr>
              <w:pStyle w:val="TableContents"/>
              <w:bidi w:val="0"/>
              <w:spacing w:before="0" w:after="283"/>
              <w:jc w:val="left"/>
              <w:rPr/>
            </w:pPr>
            <w:r>
              <w:rPr/>
              <w:t>5</w:t>
            </w:r>
          </w:p>
        </w:tc>
        <w:tc>
          <w:tcPr>
            <w:tcW w:w="15700" w:type="dxa"/>
            <w:tcBorders/>
            <w:vAlign w:val="center"/>
          </w:tcPr>
          <w:p>
            <w:pPr>
              <w:pStyle w:val="TableContents"/>
              <w:bidi w:val="0"/>
              <w:spacing w:before="0" w:after="283"/>
              <w:jc w:val="left"/>
              <w:rPr/>
            </w:pPr>
            <w:r>
              <w:rPr/>
              <w:t>Render bindings, gate modes and the envelope in the room's shape view</w:t>
            </w:r>
          </w:p>
        </w:tc>
        <w:tc>
          <w:tcPr>
            <w:tcW w:w="2153" w:type="dxa"/>
            <w:tcBorders/>
            <w:vAlign w:val="center"/>
          </w:tcPr>
          <w:p>
            <w:pPr>
              <w:pStyle w:val="TableContents"/>
              <w:bidi w:val="0"/>
              <w:spacing w:before="0" w:after="283"/>
              <w:jc w:val="left"/>
              <w:rPr/>
            </w:pPr>
            <w:r>
              <w:rPr/>
              <w:t>V-1, V-2</w:t>
            </w:r>
          </w:p>
        </w:tc>
      </w:tr>
      <w:tr>
        <w:trPr/>
        <w:tc>
          <w:tcPr>
            <w:tcW w:w="574" w:type="dxa"/>
            <w:tcBorders/>
            <w:vAlign w:val="center"/>
          </w:tcPr>
          <w:p>
            <w:pPr>
              <w:pStyle w:val="TableContents"/>
              <w:bidi w:val="0"/>
              <w:spacing w:before="0" w:after="283"/>
              <w:jc w:val="left"/>
              <w:rPr/>
            </w:pPr>
            <w:r>
              <w:rPr/>
              <w:t>6</w:t>
            </w:r>
          </w:p>
        </w:tc>
        <w:tc>
          <w:tcPr>
            <w:tcW w:w="15700" w:type="dxa"/>
            <w:tcBorders/>
            <w:vAlign w:val="center"/>
          </w:tcPr>
          <w:p>
            <w:pPr>
              <w:pStyle w:val="TableContents"/>
              <w:bidi w:val="0"/>
              <w:spacing w:before="0" w:after="283"/>
              <w:jc w:val="left"/>
              <w:rPr/>
            </w:pPr>
            <w:r>
              <w:rPr/>
              <w:t>Reconcile tools actually called per stage against the declared set</w:t>
            </w:r>
          </w:p>
        </w:tc>
        <w:tc>
          <w:tcPr>
            <w:tcW w:w="2153" w:type="dxa"/>
            <w:tcBorders/>
            <w:vAlign w:val="center"/>
          </w:tcPr>
          <w:p>
            <w:pPr>
              <w:pStyle w:val="TableContents"/>
              <w:bidi w:val="0"/>
              <w:spacing w:before="0" w:after="283"/>
              <w:jc w:val="left"/>
              <w:rPr/>
            </w:pPr>
            <w:r>
              <w:rPr/>
              <w:t>C-6</w:t>
            </w:r>
          </w:p>
        </w:tc>
      </w:tr>
    </w:tbl>
    <w:p>
      <w:pPr>
        <w:pStyle w:val="Heading2"/>
        <w:bidi w:val="0"/>
        <w:jc w:val="left"/>
        <w:rPr/>
      </w:pPr>
      <w:r>
        <w:rPr/>
        <w:t>Revision history</w:t>
      </w:r>
    </w:p>
    <w:tbl>
      <w:tblPr>
        <w:tblW w:w="47040" w:type="dxa"/>
        <w:jc w:val="left"/>
        <w:tblInd w:w="0" w:type="dxa"/>
        <w:tblLayout w:type="fixed"/>
        <w:tblCellMar>
          <w:top w:w="28" w:type="dxa"/>
          <w:left w:w="28" w:type="dxa"/>
          <w:bottom w:w="28" w:type="dxa"/>
          <w:right w:w="28" w:type="dxa"/>
        </w:tblCellMar>
      </w:tblPr>
      <w:tblGrid>
        <w:gridCol w:w="1061"/>
        <w:gridCol w:w="1411"/>
        <w:gridCol w:w="44568"/>
      </w:tblGrid>
      <w:tr>
        <w:trPr>
          <w:tblHeader w:val="true"/>
        </w:trPr>
        <w:tc>
          <w:tcPr>
            <w:tcW w:w="1061" w:type="dxa"/>
            <w:tcBorders/>
            <w:vAlign w:val="center"/>
          </w:tcPr>
          <w:p>
            <w:pPr>
              <w:pStyle w:val="TableHeading"/>
              <w:suppressLineNumbers/>
              <w:bidi w:val="0"/>
              <w:spacing w:before="0" w:after="283"/>
              <w:jc w:val="center"/>
              <w:rPr/>
            </w:pPr>
            <w:r>
              <w:rPr/>
              <w:t>Version</w:t>
            </w:r>
          </w:p>
        </w:tc>
        <w:tc>
          <w:tcPr>
            <w:tcW w:w="1411" w:type="dxa"/>
            <w:tcBorders/>
            <w:vAlign w:val="center"/>
          </w:tcPr>
          <w:p>
            <w:pPr>
              <w:pStyle w:val="TableHeading"/>
              <w:suppressLineNumbers/>
              <w:bidi w:val="0"/>
              <w:spacing w:before="0" w:after="283"/>
              <w:jc w:val="center"/>
              <w:rPr/>
            </w:pPr>
            <w:r>
              <w:rPr/>
              <w:t>Date</w:t>
            </w:r>
          </w:p>
        </w:tc>
        <w:tc>
          <w:tcPr>
            <w:tcW w:w="44568" w:type="dxa"/>
            <w:tcBorders/>
            <w:vAlign w:val="center"/>
          </w:tcPr>
          <w:p>
            <w:pPr>
              <w:pStyle w:val="TableHeading"/>
              <w:suppressLineNumbers/>
              <w:bidi w:val="0"/>
              <w:spacing w:before="0" w:after="283"/>
              <w:jc w:val="center"/>
              <w:rPr/>
            </w:pPr>
            <w:r>
              <w:rPr/>
              <w:t>Change</w:t>
            </w:r>
          </w:p>
        </w:tc>
      </w:tr>
      <w:tr>
        <w:trPr/>
        <w:tc>
          <w:tcPr>
            <w:tcW w:w="1061" w:type="dxa"/>
            <w:tcBorders/>
            <w:vAlign w:val="center"/>
          </w:tcPr>
          <w:p>
            <w:pPr>
              <w:pStyle w:val="TableContents"/>
              <w:bidi w:val="0"/>
              <w:spacing w:before="0" w:after="283"/>
              <w:jc w:val="left"/>
              <w:rPr/>
            </w:pPr>
            <w:r>
              <w:rPr/>
              <w:t>0.1</w:t>
            </w:r>
          </w:p>
        </w:tc>
        <w:tc>
          <w:tcPr>
            <w:tcW w:w="1411" w:type="dxa"/>
            <w:tcBorders/>
            <w:vAlign w:val="center"/>
          </w:tcPr>
          <w:p>
            <w:pPr>
              <w:pStyle w:val="TableContents"/>
              <w:bidi w:val="0"/>
              <w:spacing w:before="0" w:after="283"/>
              <w:jc w:val="left"/>
              <w:rPr/>
            </w:pPr>
            <w:r>
              <w:rPr/>
              <w:t>2026-09-30</w:t>
            </w:r>
          </w:p>
        </w:tc>
        <w:tc>
          <w:tcPr>
            <w:tcW w:w="44568" w:type="dxa"/>
            <w:tcBorders/>
            <w:vAlign w:val="center"/>
          </w:tcPr>
          <w:p>
            <w:pPr>
              <w:pStyle w:val="TableContents"/>
              <w:bidi w:val="0"/>
              <w:spacing w:before="0" w:after="283"/>
              <w:jc w:val="left"/>
              <w:rPr/>
            </w:pPr>
            <w:r>
              <w:rPr/>
              <w:t>Initial working draft (BI-2C3B3AC9).</w:t>
            </w:r>
          </w:p>
        </w:tc>
      </w:tr>
      <w:tr>
        <w:trPr/>
        <w:tc>
          <w:tcPr>
            <w:tcW w:w="1061" w:type="dxa"/>
            <w:tcBorders/>
            <w:vAlign w:val="center"/>
          </w:tcPr>
          <w:p>
            <w:pPr>
              <w:pStyle w:val="TableContents"/>
              <w:bidi w:val="0"/>
              <w:spacing w:before="0" w:after="283"/>
              <w:jc w:val="left"/>
              <w:rPr/>
            </w:pPr>
            <w:r>
              <w:rPr/>
              <w:t>0.2</w:t>
            </w:r>
          </w:p>
        </w:tc>
        <w:tc>
          <w:tcPr>
            <w:tcW w:w="1411" w:type="dxa"/>
            <w:tcBorders/>
            <w:vAlign w:val="center"/>
          </w:tcPr>
          <w:p>
            <w:pPr>
              <w:pStyle w:val="TableContents"/>
              <w:bidi w:val="0"/>
              <w:spacing w:before="0" w:after="283"/>
              <w:jc w:val="left"/>
              <w:rPr/>
            </w:pPr>
            <w:r>
              <w:rPr/>
              <w:t>2026-10-01</w:t>
            </w:r>
          </w:p>
        </w:tc>
        <w:tc>
          <w:tcPr>
            <w:tcW w:w="44568" w:type="dxa"/>
            <w:tcBorders/>
            <w:vAlign w:val="center"/>
          </w:tcPr>
          <w:p>
            <w:pPr>
              <w:pStyle w:val="TableContents"/>
              <w:bidi w:val="0"/>
              <w:spacing w:before="0" w:after="283"/>
              <w:jc w:val="left"/>
              <w:rPr/>
            </w:pPr>
            <w:r>
              <w:rPr/>
              <w:t>Added §2.1.1 binding revision versus shape version. Annex A now cites the first stage-level binding slice (BI-43C3E914, PR #5846).</w:t>
            </w:r>
          </w:p>
        </w:tc>
      </w:tr>
      <w:tr>
        <w:trPr/>
        <w:tc>
          <w:tcPr>
            <w:tcW w:w="1061" w:type="dxa"/>
            <w:tcBorders/>
            <w:vAlign w:val="center"/>
          </w:tcPr>
          <w:p>
            <w:pPr>
              <w:pStyle w:val="TableContents"/>
              <w:bidi w:val="0"/>
              <w:spacing w:before="0" w:after="283"/>
              <w:jc w:val="left"/>
              <w:rPr/>
            </w:pPr>
            <w:r>
              <w:rPr/>
              <w:t>0.3</w:t>
            </w:r>
          </w:p>
        </w:tc>
        <w:tc>
          <w:tcPr>
            <w:tcW w:w="1411" w:type="dxa"/>
            <w:tcBorders/>
            <w:vAlign w:val="center"/>
          </w:tcPr>
          <w:p>
            <w:pPr>
              <w:pStyle w:val="TableContents"/>
              <w:bidi w:val="0"/>
              <w:spacing w:before="0" w:after="283"/>
              <w:jc w:val="left"/>
              <w:rPr/>
            </w:pPr>
            <w:r>
              <w:rPr/>
              <w:t>2026-10-01</w:t>
            </w:r>
          </w:p>
        </w:tc>
        <w:tc>
          <w:tcPr>
            <w:tcW w:w="44568" w:type="dxa"/>
            <w:tcBorders/>
            <w:vAlign w:val="center"/>
          </w:tcPr>
          <w:p>
            <w:pPr>
              <w:pStyle w:val="TableContents"/>
              <w:bidi w:val="0"/>
              <w:spacing w:before="0" w:after="283"/>
              <w:jc w:val="left"/>
              <w:rPr/>
            </w:pPr>
            <w:r>
              <w:rPr/>
              <w:t>Added the §7.3 pairing diagram and §12.3 model diagram. Added §12.4 model-to-running-system requirements (executability, V-1…V-4 visibility). Added check C-8 and assertions GPP-013/014. Added Annex C, Build Studio as a GPP model (BI-D0AB33B5).</w:t>
            </w:r>
          </w:p>
        </w:tc>
      </w:tr>
      <w:tr>
        <w:trPr/>
        <w:tc>
          <w:tcPr>
            <w:tcW w:w="1061" w:type="dxa"/>
            <w:tcBorders/>
            <w:vAlign w:val="center"/>
          </w:tcPr>
          <w:p>
            <w:pPr>
              <w:pStyle w:val="TableContents"/>
              <w:bidi w:val="0"/>
              <w:spacing w:before="0" w:after="283"/>
              <w:jc w:val="left"/>
              <w:rPr/>
            </w:pPr>
            <w:r>
              <w:rPr/>
              <w:t>0.4</w:t>
            </w:r>
          </w:p>
        </w:tc>
        <w:tc>
          <w:tcPr>
            <w:tcW w:w="1411" w:type="dxa"/>
            <w:tcBorders/>
            <w:vAlign w:val="center"/>
          </w:tcPr>
          <w:p>
            <w:pPr>
              <w:pStyle w:val="TableContents"/>
              <w:bidi w:val="0"/>
              <w:spacing w:before="0" w:after="283"/>
              <w:jc w:val="left"/>
              <w:rPr/>
            </w:pPr>
            <w:r>
              <w:rPr/>
              <w:t>2026-10-01</w:t>
            </w:r>
          </w:p>
        </w:tc>
        <w:tc>
          <w:tcPr>
            <w:tcW w:w="44568" w:type="dxa"/>
            <w:tcBorders/>
            <w:vAlign w:val="center"/>
          </w:tcPr>
          <w:p>
            <w:pPr>
              <w:pStyle w:val="TableContents"/>
              <w:bidi w:val="0"/>
              <w:spacing w:before="0" w:after="283"/>
              <w:jc w:val="left"/>
              <w:rPr/>
            </w:pPr>
            <w:r>
              <w:rPr/>
              <w:t>Added check C-9 (unmediated reach) and assertion GPP-015. Annex A cites the Phase 1 critical-interaction map and both ratchets (BI-69415B68).</w:t>
            </w:r>
          </w:p>
        </w:tc>
      </w:tr>
      <w:tr>
        <w:trPr/>
        <w:tc>
          <w:tcPr>
            <w:tcW w:w="1061" w:type="dxa"/>
            <w:tcBorders/>
            <w:vAlign w:val="center"/>
          </w:tcPr>
          <w:p>
            <w:pPr>
              <w:pStyle w:val="TableContents"/>
              <w:bidi w:val="0"/>
              <w:spacing w:before="0" w:after="283"/>
              <w:jc w:val="left"/>
              <w:rPr/>
            </w:pPr>
            <w:r>
              <w:rPr/>
              <w:t>0.5</w:t>
            </w:r>
          </w:p>
        </w:tc>
        <w:tc>
          <w:tcPr>
            <w:tcW w:w="1411" w:type="dxa"/>
            <w:tcBorders/>
            <w:vAlign w:val="center"/>
          </w:tcPr>
          <w:p>
            <w:pPr>
              <w:pStyle w:val="TableContents"/>
              <w:bidi w:val="0"/>
              <w:spacing w:before="0" w:after="283"/>
              <w:jc w:val="left"/>
              <w:rPr/>
            </w:pPr>
            <w:r>
              <w:rPr/>
              <w:t>2026-10-01</w:t>
            </w:r>
          </w:p>
        </w:tc>
        <w:tc>
          <w:tcPr>
            <w:tcW w:w="44568" w:type="dxa"/>
            <w:tcBorders/>
            <w:vAlign w:val="center"/>
          </w:tcPr>
          <w:p>
            <w:pPr>
              <w:pStyle w:val="TableContents"/>
              <w:bidi w:val="0"/>
              <w:spacing w:before="0" w:after="283"/>
              <w:jc w:val="left"/>
              <w:rPr/>
            </w:pPr>
            <w:r>
              <w:rPr/>
              <w:t>Annex A cites the Phase 2 permit (PR-C shadow permits, PR-D MAC and paramHash, PR-E per-binding enforcement with an empty enforced set). Annex A and §12.4.3: Build Studio's five plan → build paths go through one transition function with declared per-path gate profiles, plus a direct phase-write ratchet (GPP Phase 2 PR-F, BI-45F9CB7A). C-8 stays open until the gate sets are made equal.</w:t>
            </w:r>
          </w:p>
        </w:tc>
      </w:tr>
      <w:tr>
        <w:trPr/>
        <w:tc>
          <w:tcPr>
            <w:tcW w:w="1061" w:type="dxa"/>
            <w:tcBorders/>
            <w:vAlign w:val="center"/>
          </w:tcPr>
          <w:p>
            <w:pPr>
              <w:pStyle w:val="TableContents"/>
              <w:bidi w:val="0"/>
              <w:spacing w:before="0" w:after="283"/>
              <w:jc w:val="left"/>
              <w:rPr/>
            </w:pPr>
            <w:r>
              <w:rPr/>
              <w:t>0.6</w:t>
            </w:r>
          </w:p>
        </w:tc>
        <w:tc>
          <w:tcPr>
            <w:tcW w:w="1411" w:type="dxa"/>
            <w:tcBorders/>
            <w:vAlign w:val="center"/>
          </w:tcPr>
          <w:p>
            <w:pPr>
              <w:pStyle w:val="TableContents"/>
              <w:bidi w:val="0"/>
              <w:spacing w:before="0" w:after="283"/>
              <w:jc w:val="left"/>
              <w:rPr/>
            </w:pPr>
            <w:r>
              <w:rPr/>
              <w:t>2026-10-01</w:t>
            </w:r>
          </w:p>
        </w:tc>
        <w:tc>
          <w:tcPr>
            <w:tcW w:w="44568" w:type="dxa"/>
            <w:tcBorders/>
            <w:vAlign w:val="center"/>
          </w:tcPr>
          <w:p>
            <w:pPr>
              <w:pStyle w:val="TableContents"/>
              <w:bidi w:val="0"/>
              <w:spacing w:before="0" w:after="283"/>
              <w:jc w:val="left"/>
              <w:rPr/>
            </w:pPr>
            <w:r>
              <w:rPr/>
              <w:t xml:space="preserve">Annex A: pre-promotion hardening of the Phase 2 permit (PR-G). A permit use is taken atomically as part of the verdict, the MCP route returns the minted handle and the </w:t>
            </w:r>
            <w:r>
              <w:rPr>
                <w:rStyle w:val="SourceText"/>
              </w:rPr>
              <w:t>permit_required</w:t>
            </w:r>
            <w:r>
              <w:rPr/>
              <w:t xml:space="preserve"> denial envelope on result </w:t>
            </w:r>
            <w:r>
              <w:rPr>
                <w:rStyle w:val="SourceText"/>
              </w:rPr>
              <w:t>_meta</w:t>
            </w:r>
            <w:r>
              <w:rPr/>
              <w:t>, and promotion criterion 6 keeps a human-checkpoint binding off any tool a direct call can reach (BI-69415B68).</w:t>
            </w:r>
          </w:p>
        </w:tc>
      </w:tr>
      <w:tr>
        <w:trPr/>
        <w:tc>
          <w:tcPr>
            <w:tcW w:w="1061" w:type="dxa"/>
            <w:tcBorders/>
            <w:vAlign w:val="center"/>
          </w:tcPr>
          <w:p>
            <w:pPr>
              <w:pStyle w:val="TableContents"/>
              <w:bidi w:val="0"/>
              <w:spacing w:before="0" w:after="283"/>
              <w:jc w:val="left"/>
              <w:rPr/>
            </w:pPr>
            <w:r>
              <w:rPr/>
              <w:t>0.7</w:t>
            </w:r>
          </w:p>
        </w:tc>
        <w:tc>
          <w:tcPr>
            <w:tcW w:w="1411" w:type="dxa"/>
            <w:tcBorders/>
            <w:vAlign w:val="center"/>
          </w:tcPr>
          <w:p>
            <w:pPr>
              <w:pStyle w:val="TableContents"/>
              <w:bidi w:val="0"/>
              <w:spacing w:before="0" w:after="283"/>
              <w:jc w:val="left"/>
              <w:rPr/>
            </w:pPr>
            <w:r>
              <w:rPr/>
              <w:t>2026-10-02</w:t>
            </w:r>
          </w:p>
        </w:tc>
        <w:tc>
          <w:tcPr>
            <w:tcW w:w="44568" w:type="dxa"/>
            <w:tcBorders/>
            <w:vAlign w:val="center"/>
          </w:tcPr>
          <w:p>
            <w:pPr>
              <w:pStyle w:val="TableContents"/>
              <w:bidi w:val="0"/>
              <w:spacing w:before="0" w:after="283"/>
              <w:jc w:val="left"/>
              <w:rPr/>
            </w:pPr>
            <w:r>
              <w:rPr/>
              <w:t xml:space="preserve">Annex A and the promotion criteria: Phase 2 PR-H routed the </w:t>
            </w:r>
            <w:r>
              <w:rPr>
                <w:rStyle w:val="SourceText"/>
              </w:rPr>
              <w:t>/ops/demand</w:t>
            </w:r>
            <w:r>
              <w:rPr/>
              <w:t xml:space="preserve"> actions and </w:t>
            </w:r>
            <w:r>
              <w:rPr>
                <w:rStyle w:val="SourceText"/>
              </w:rPr>
              <w:t>screen_dispatch_action</w:t>
            </w:r>
            <w:r>
              <w:rPr/>
              <w:t xml:space="preserve"> through the monitor. The unmediated set is 26 sites in 13 files, and the two remaining dynamic sites are the proposal-approval paths (BI-69415B68).</w:t>
            </w:r>
          </w:p>
        </w:tc>
      </w:tr>
      <w:tr>
        <w:trPr/>
        <w:tc>
          <w:tcPr>
            <w:tcW w:w="1061" w:type="dxa"/>
            <w:tcBorders/>
            <w:vAlign w:val="center"/>
          </w:tcPr>
          <w:p>
            <w:pPr>
              <w:pStyle w:val="TableContents"/>
              <w:bidi w:val="0"/>
              <w:spacing w:before="0" w:after="283"/>
              <w:jc w:val="left"/>
              <w:rPr/>
            </w:pPr>
            <w:r>
              <w:rPr/>
              <w:t>0.8</w:t>
            </w:r>
          </w:p>
        </w:tc>
        <w:tc>
          <w:tcPr>
            <w:tcW w:w="1411" w:type="dxa"/>
            <w:tcBorders/>
            <w:vAlign w:val="center"/>
          </w:tcPr>
          <w:p>
            <w:pPr>
              <w:pStyle w:val="TableContents"/>
              <w:bidi w:val="0"/>
              <w:spacing w:before="0" w:after="283"/>
              <w:jc w:val="left"/>
              <w:rPr/>
            </w:pPr>
            <w:r>
              <w:rPr/>
              <w:t>2026-10-02</w:t>
            </w:r>
          </w:p>
        </w:tc>
        <w:tc>
          <w:tcPr>
            <w:tcW w:w="44568" w:type="dxa"/>
            <w:tcBorders/>
            <w:vAlign w:val="center"/>
          </w:tcPr>
          <w:p>
            <w:pPr>
              <w:pStyle w:val="TableContents"/>
              <w:bidi w:val="0"/>
              <w:spacing w:before="0" w:after="283"/>
              <w:jc w:val="left"/>
              <w:rPr/>
            </w:pPr>
            <w:r>
              <w:rPr/>
              <w:t>Annex A cites the first governed rebind (the §2.1.1 widening path), the first make-explicit revision (the narrowing path, #5903) and the first live C-6 reach reconciliation over the standing rooms.</w:t>
            </w:r>
          </w:p>
        </w:tc>
      </w:tr>
    </w:tbl>
    <w:p>
      <w:pPr>
        <w:pStyle w:val="BodyText"/>
        <w:bidi w:val="0"/>
        <w:spacing w:before="0" w:after="283"/>
        <w:jc w:val="left"/>
        <w:rPr/>
      </w:pPr>
      <w:r>
        <w:rPr/>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Mono">
    <w:altName w:val="Courier New"/>
    <w:charset w:val="01"/>
    <w:family w:val="modern"/>
    <w:pitch w:val="fixed"/>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0">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0">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view w:val="web"/>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DejaVu Sans" w:cs="DejaVu Sans"/>
      <w:color w:val="auto"/>
      <w:sz w:val="24"/>
      <w:szCs w:val="24"/>
      <w:lang w:val="en-US" w:eastAsia="zh-CN" w:bidi="hi-IN"/>
    </w:rPr>
  </w:style>
  <w:style w:type="paragraph" w:styleId="Heading1">
    <w:name w:val="heading 1"/>
    <w:basedOn w:val="Heading"/>
    <w:next w:val="BodyText"/>
    <w:qFormat/>
    <w:pPr/>
    <w:rPr>
      <w:b/>
      <w:bCs/>
      <w:sz w:val="48"/>
      <w:szCs w:val="48"/>
    </w:rPr>
  </w:style>
  <w:style w:type="paragraph" w:styleId="Heading2">
    <w:name w:val="heading 2"/>
    <w:basedOn w:val="Heading"/>
    <w:next w:val="BodyText"/>
    <w:qFormat/>
    <w:pPr>
      <w:spacing w:before="200" w:after="120"/>
      <w:outlineLvl w:val="1"/>
    </w:pPr>
    <w:rPr>
      <w:rFonts w:ascii="Liberation Serif" w:hAnsi="Liberation Serif" w:eastAsia="DejaVu Sans" w:cs="DejaVu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8"/>
      <w:szCs w:val="28"/>
    </w:rPr>
  </w:style>
  <w:style w:type="paragraph" w:styleId="Heading4">
    <w:name w:val="heading 4"/>
    <w:basedOn w:val="Heading"/>
    <w:next w:val="BodyText"/>
    <w:qFormat/>
    <w:pPr>
      <w:spacing w:before="120" w:after="120"/>
      <w:outlineLvl w:val="3"/>
    </w:pPr>
    <w:rPr>
      <w:rFonts w:ascii="Liberation Serif" w:hAnsi="Liberation Serif" w:eastAsia="DejaVu Sans" w:cs="DejaVu Sans"/>
      <w:b/>
      <w:bCs/>
      <w:sz w:val="24"/>
      <w:szCs w:val="24"/>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character" w:styleId="SourceText">
    <w:name w:val="Source Text"/>
    <w:qFormat/>
    <w:rPr>
      <w:rFonts w:ascii="Liberation Mono" w:hAnsi="Liberation Mono" w:eastAsia="Liberation Mono" w:cs="Liberation Mono"/>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List">
    <w:name w:val="List"/>
    <w:basedOn w:val="BodyText"/>
    <w:pPr/>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in/agent-standards-family.md" TargetMode="External"/><Relationship Id="rId3" Type="http://schemas.openxmlformats.org/officeDocument/2006/relationships/hyperlink" Target="../in/trusted-ai-kernel.md" TargetMode="External"/><Relationship Id="rId4" Type="http://schemas.openxmlformats.org/officeDocument/2006/relationships/hyperlink" Target="../in/GAID.md" TargetMode="External"/><Relationship Id="rId5" Type="http://schemas.openxmlformats.org/officeDocument/2006/relationships/hyperlink" Target="../in/job-specific-intelligence.md" TargetMode="External"/><Relationship Id="rId6" Type="http://schemas.openxmlformats.org/officeDocument/2006/relationships/hyperlink" Target="../in/trusted-ai-kernel.md" TargetMode="External"/><Relationship Id="rId7" Type="http://schemas.openxmlformats.org/officeDocument/2006/relationships/hyperlink" Target="../in/GAID.md" TargetMode="External"/><Relationship Id="rId8" Type="http://schemas.openxmlformats.org/officeDocument/2006/relationships/hyperlink" Target="../in/job-specific-intelligence.md" TargetMode="External"/><Relationship Id="rId9" Type="http://schemas.openxmlformats.org/officeDocument/2006/relationships/hyperlink" Target="../in/agent-governance-market-landscape-2026.md" TargetMode="External"/><Relationship Id="rId10" Type="http://schemas.openxmlformats.org/officeDocument/2006/relationships/hyperlink" Target="../in/agent-standards-external-alignment.md" TargetMode="External"/><Relationship Id="rId11" Type="http://schemas.openxmlformats.org/officeDocument/2006/relationships/hyperlink" Target="../in/work-shapes-and-the-decision-gate.md" TargetMode="External"/><Relationship Id="rId12" Type="http://schemas.openxmlformats.org/officeDocument/2006/relationships/hyperlink" Target="../superpowers/specs/2026-09-27-principle-directed-agent-composition-design.md" TargetMode="External"/><Relationship Id="rId13" Type="http://schemas.openxmlformats.org/officeDocument/2006/relationships/image" Target="media/image1.png"/><Relationship Id="rId14" Type="http://schemas.openxmlformats.org/officeDocument/2006/relationships/hyperlink" Target="../superpowers/specs/2026-09-27-principle-directed-agent-composition-design.md" TargetMode="External"/><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LibreOffice/25.2.3.2$Linux_AARCH64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Gated Permissions Process</dc:title>
</cp:coreProperties>
</file>

<file path=docProps/custom.xml><?xml version="1.0" encoding="utf-8"?>
<Properties xmlns="http://schemas.openxmlformats.org/officeDocument/2006/custom-properties" xmlns:vt="http://schemas.openxmlformats.org/officeDocument/2006/docPropsVTypes"/>
</file>