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Job-Specific Intelligence (TAK-JSI)</w:t>
      </w:r>
    </w:p>
    <w:p>
      <w:pPr>
        <w:pStyle w:val="BodyText"/>
        <w:bidi w:val="0"/>
        <w:jc w:val="left"/>
        <w:rPr/>
      </w:pPr>
      <w:r>
        <w:rPr>
          <w:rStyle w:val="Strong"/>
        </w:rPr>
        <w:t>TAK Profile for Job Qualification, Autonomy, and Revalidation</w:t>
      </w:r>
    </w:p>
    <w:p>
      <w:pPr>
        <w:pStyle w:val="BodyText"/>
        <w:bidi w:val="0"/>
        <w:jc w:val="left"/>
        <w:rPr/>
      </w:pPr>
      <w:r>
        <w:rPr>
          <w:rStyle w:val="Emphasis"/>
        </w:rPr>
        <w:t>Generated 2026-10-01</w:t>
      </w:r>
    </w:p>
    <w:p>
      <w:pPr>
        <w:pStyle w:val="Heading2"/>
        <w:bidi w:val="0"/>
        <w:jc w:val="left"/>
        <w:rPr/>
      </w:pPr>
      <w:r>
        <w:rPr/>
        <w:t>Abstract</w:t>
      </w:r>
    </w:p>
    <w:p>
      <w:pPr>
        <w:pStyle w:val="BodyText"/>
        <w:bidi w:val="0"/>
        <w:jc w:val="left"/>
        <w:rPr/>
      </w:pPr>
      <w:r>
        <w:rPr/>
        <w:t>Job-Specific Intelligence (</w:t>
      </w:r>
      <w:r>
        <w:rPr>
          <w:rStyle w:val="SourceText"/>
        </w:rPr>
        <w:t>JSI</w:t>
      </w:r>
      <w:r>
        <w:rPr/>
        <w:t>) is a normative qualification profile for autonomous and semi-autonomous AI agents. It defines how an identified agent operating profile is shown to be fit for a specific job, activity, data scope, and risk context; how that qualification is versioned and advertised; and when it must be restricted, suspended, or revalidated.</w:t>
      </w:r>
    </w:p>
    <w:p>
      <w:pPr>
        <w:pStyle w:val="BodyText"/>
        <w:bidi w:val="0"/>
        <w:jc w:val="left"/>
        <w:rPr/>
      </w:pPr>
      <w:r>
        <w:rPr/>
        <w:t>The problem is not that AI systems have no benchmarks. The problem is that generic model benchmarks, model cards, system cards, and one-shot demonstrations do not establish whether an AI Coworker can perform a particular job in a particular organization under its actual tool, data, authority, and oversight constraints. A coding benchmark may support a software-development qualification. It does not qualify the same operating profile for legal intake, health operations, finance approval, or any other job with different knowledge, evidence, data, and harm boundaries.</w:t>
      </w:r>
    </w:p>
    <w:p>
      <w:pPr>
        <w:pStyle w:val="BodyText"/>
        <w:bidi w:val="0"/>
        <w:jc w:val="left"/>
        <w:rPr/>
      </w:pPr>
      <w:r>
        <w:rPr>
          <w:rStyle w:val="SourceText"/>
        </w:rPr>
        <w:t>TAK-JSI</w:t>
      </w:r>
      <w:r>
        <w:rPr/>
        <w:t xml:space="preserve"> treats qualification as a property of a versioned operational subject in context, not as a permanent property of a model name. It is a profile of the Trusted AI Kernel (</w:t>
      </w:r>
      <w:r>
        <w:rPr>
          <w:rStyle w:val="SourceText"/>
        </w:rPr>
        <w:t>TAK</w:t>
      </w:r>
      <w:r>
        <w:rPr/>
        <w:t xml:space="preserve">) because qualification constrains runtime autonomy. It binds claims through </w:t>
      </w:r>
      <w:r>
        <w:rPr>
          <w:rStyle w:val="SourceText"/>
        </w:rPr>
        <w:t>GAID</w:t>
      </w:r>
      <w:r>
        <w:rPr/>
        <w:t xml:space="preserve"> because relying parties need to know which AI Coworker and operating profile earned the qualification.</w:t>
      </w:r>
    </w:p>
    <w:p>
      <w:pPr>
        <w:pStyle w:val="Heading2"/>
        <w:bidi w:val="0"/>
        <w:jc w:val="left"/>
        <w:rPr/>
      </w:pPr>
      <w:r>
        <w:rPr/>
        <w:t>1. Scope</w:t>
      </w:r>
    </w:p>
    <w:p>
      <w:pPr>
        <w:pStyle w:val="BodyText"/>
        <w:bidi w:val="0"/>
        <w:jc w:val="left"/>
        <w:rPr/>
      </w:pPr>
      <w:r>
        <w:rPr/>
        <w:t>This profile specifies requirements for:</w:t>
      </w:r>
    </w:p>
    <w:p>
      <w:pPr>
        <w:pStyle w:val="BodyText"/>
        <w:numPr>
          <w:ilvl w:val="0"/>
          <w:numId w:val="1"/>
        </w:numPr>
        <w:tabs>
          <w:tab w:val="clear" w:pos="1134"/>
          <w:tab w:val="left" w:pos="709" w:leader="none"/>
        </w:tabs>
        <w:bidi w:val="0"/>
        <w:spacing w:before="0" w:after="0"/>
        <w:ind w:hanging="283" w:left="709"/>
        <w:jc w:val="left"/>
        <w:rPr/>
      </w:pPr>
      <w:r>
        <w:rPr/>
        <w:t xml:space="preserve">job and activity definitions for AI agents </w:t>
      </w:r>
    </w:p>
    <w:p>
      <w:pPr>
        <w:pStyle w:val="BodyText"/>
        <w:numPr>
          <w:ilvl w:val="0"/>
          <w:numId w:val="1"/>
        </w:numPr>
        <w:tabs>
          <w:tab w:val="clear" w:pos="1134"/>
          <w:tab w:val="left" w:pos="709" w:leader="none"/>
        </w:tabs>
        <w:bidi w:val="0"/>
        <w:spacing w:before="0" w:after="0"/>
        <w:ind w:hanging="283" w:left="709"/>
        <w:jc w:val="left"/>
        <w:rPr/>
      </w:pPr>
      <w:r>
        <w:rPr/>
        <w:t xml:space="preserve">job-specific knowledge, skill, decision, tool, data, and evidence requirements </w:t>
      </w:r>
    </w:p>
    <w:p>
      <w:pPr>
        <w:pStyle w:val="BodyText"/>
        <w:numPr>
          <w:ilvl w:val="0"/>
          <w:numId w:val="1"/>
        </w:numPr>
        <w:tabs>
          <w:tab w:val="clear" w:pos="1134"/>
          <w:tab w:val="left" w:pos="709" w:leader="none"/>
        </w:tabs>
        <w:bidi w:val="0"/>
        <w:spacing w:before="0" w:after="0"/>
        <w:ind w:hanging="283" w:left="709"/>
        <w:jc w:val="left"/>
        <w:rPr/>
      </w:pPr>
      <w:r>
        <w:rPr/>
        <w:t xml:space="preserve">qualification schemes and assessment plans </w:t>
      </w:r>
    </w:p>
    <w:p>
      <w:pPr>
        <w:pStyle w:val="BodyText"/>
        <w:numPr>
          <w:ilvl w:val="0"/>
          <w:numId w:val="1"/>
        </w:numPr>
        <w:tabs>
          <w:tab w:val="clear" w:pos="1134"/>
          <w:tab w:val="left" w:pos="709" w:leader="none"/>
        </w:tabs>
        <w:bidi w:val="0"/>
        <w:spacing w:before="0" w:after="0"/>
        <w:ind w:hanging="283" w:left="709"/>
        <w:jc w:val="left"/>
        <w:rPr/>
      </w:pPr>
      <w:r>
        <w:rPr/>
        <w:t xml:space="preserve">qualification records bound to versioned agent operating profiles </w:t>
      </w:r>
    </w:p>
    <w:p>
      <w:pPr>
        <w:pStyle w:val="BodyText"/>
        <w:numPr>
          <w:ilvl w:val="0"/>
          <w:numId w:val="1"/>
        </w:numPr>
        <w:tabs>
          <w:tab w:val="clear" w:pos="1134"/>
          <w:tab w:val="left" w:pos="709" w:leader="none"/>
        </w:tabs>
        <w:bidi w:val="0"/>
        <w:spacing w:before="0" w:after="0"/>
        <w:ind w:hanging="283" w:left="709"/>
        <w:jc w:val="left"/>
        <w:rPr/>
      </w:pPr>
      <w:r>
        <w:rPr/>
        <w:t xml:space="preserve">model and provider eligibility for a job and data scope </w:t>
      </w:r>
    </w:p>
    <w:p>
      <w:pPr>
        <w:pStyle w:val="BodyText"/>
        <w:numPr>
          <w:ilvl w:val="0"/>
          <w:numId w:val="1"/>
        </w:numPr>
        <w:tabs>
          <w:tab w:val="clear" w:pos="1134"/>
          <w:tab w:val="left" w:pos="709" w:leader="none"/>
        </w:tabs>
        <w:bidi w:val="0"/>
        <w:spacing w:before="0" w:after="0"/>
        <w:ind w:hanging="283" w:left="709"/>
        <w:jc w:val="left"/>
        <w:rPr/>
      </w:pPr>
      <w:r>
        <w:rPr/>
        <w:t xml:space="preserve">data stewardship within qualification and evaluation </w:t>
      </w:r>
    </w:p>
    <w:p>
      <w:pPr>
        <w:pStyle w:val="BodyText"/>
        <w:numPr>
          <w:ilvl w:val="0"/>
          <w:numId w:val="1"/>
        </w:numPr>
        <w:tabs>
          <w:tab w:val="clear" w:pos="1134"/>
          <w:tab w:val="left" w:pos="709" w:leader="none"/>
        </w:tabs>
        <w:bidi w:val="0"/>
        <w:spacing w:before="0" w:after="0"/>
        <w:ind w:hanging="283" w:left="709"/>
        <w:jc w:val="left"/>
        <w:rPr/>
      </w:pPr>
      <w:r>
        <w:rPr/>
        <w:t xml:space="preserve">evidence-based autonomy and proactivity boundaries </w:t>
      </w:r>
    </w:p>
    <w:p>
      <w:pPr>
        <w:pStyle w:val="BodyText"/>
        <w:numPr>
          <w:ilvl w:val="0"/>
          <w:numId w:val="1"/>
        </w:numPr>
        <w:tabs>
          <w:tab w:val="clear" w:pos="1134"/>
          <w:tab w:val="left" w:pos="709" w:leader="none"/>
        </w:tabs>
        <w:bidi w:val="0"/>
        <w:spacing w:before="0" w:after="0"/>
        <w:ind w:hanging="283" w:left="709"/>
        <w:jc w:val="left"/>
        <w:rPr/>
      </w:pPr>
      <w:r>
        <w:rPr/>
        <w:t xml:space="preserve">material-change detection, surveillance, expiry, revalidation, suspension, and revocation </w:t>
      </w:r>
    </w:p>
    <w:p>
      <w:pPr>
        <w:pStyle w:val="BodyText"/>
        <w:numPr>
          <w:ilvl w:val="0"/>
          <w:numId w:val="1"/>
        </w:numPr>
        <w:tabs>
          <w:tab w:val="clear" w:pos="1134"/>
          <w:tab w:val="left" w:pos="709" w:leader="none"/>
        </w:tabs>
        <w:bidi w:val="0"/>
        <w:spacing w:before="0" w:after="0"/>
        <w:ind w:hanging="283" w:left="709"/>
        <w:jc w:val="left"/>
        <w:rPr/>
      </w:pPr>
      <w:r>
        <w:rPr/>
        <w:t xml:space="preserve">portable advertisement of qualification through </w:t>
      </w:r>
      <w:r>
        <w:rPr>
          <w:rStyle w:val="SourceText"/>
        </w:rPr>
        <w:t>GAID</w:t>
      </w:r>
      <w:r>
        <w:rPr/>
        <w:t xml:space="preserve"> </w:t>
      </w:r>
    </w:p>
    <w:p>
      <w:pPr>
        <w:pStyle w:val="BodyText"/>
        <w:numPr>
          <w:ilvl w:val="0"/>
          <w:numId w:val="1"/>
        </w:numPr>
        <w:tabs>
          <w:tab w:val="clear" w:pos="1134"/>
          <w:tab w:val="left" w:pos="709" w:leader="none"/>
        </w:tabs>
        <w:bidi w:val="0"/>
        <w:ind w:hanging="283" w:left="709"/>
        <w:jc w:val="left"/>
        <w:rPr/>
      </w:pPr>
      <w:r>
        <w:rPr/>
        <w:t xml:space="preserve">conformance evidence for qualification issuers, operators, and verifiers </w:t>
      </w:r>
    </w:p>
    <w:p>
      <w:pPr>
        <w:pStyle w:val="BodyText"/>
        <w:bidi w:val="0"/>
        <w:jc w:val="left"/>
        <w:rPr/>
      </w:pPr>
      <w:r>
        <w:rPr/>
        <w:t>This profile applies to:</w:t>
      </w:r>
    </w:p>
    <w:p>
      <w:pPr>
        <w:pStyle w:val="BodyText"/>
        <w:numPr>
          <w:ilvl w:val="0"/>
          <w:numId w:val="2"/>
        </w:numPr>
        <w:tabs>
          <w:tab w:val="clear" w:pos="1134"/>
          <w:tab w:val="left" w:pos="709" w:leader="none"/>
        </w:tabs>
        <w:bidi w:val="0"/>
        <w:spacing w:before="0" w:after="0"/>
        <w:ind w:hanging="283" w:left="709"/>
        <w:jc w:val="left"/>
        <w:rPr/>
      </w:pPr>
      <w:r>
        <w:rPr/>
        <w:t xml:space="preserve">AI Coworkers performing bounded enterprise or public-sector jobs </w:t>
      </w:r>
    </w:p>
    <w:p>
      <w:pPr>
        <w:pStyle w:val="BodyText"/>
        <w:numPr>
          <w:ilvl w:val="0"/>
          <w:numId w:val="2"/>
        </w:numPr>
        <w:tabs>
          <w:tab w:val="clear" w:pos="1134"/>
          <w:tab w:val="left" w:pos="709" w:leader="none"/>
        </w:tabs>
        <w:bidi w:val="0"/>
        <w:spacing w:before="0" w:after="0"/>
        <w:ind w:hanging="283" w:left="709"/>
        <w:jc w:val="left"/>
        <w:rPr/>
      </w:pPr>
      <w:r>
        <w:rPr/>
        <w:t xml:space="preserve">orchestrators and specialists whose job scopes differ </w:t>
      </w:r>
    </w:p>
    <w:p>
      <w:pPr>
        <w:pStyle w:val="BodyText"/>
        <w:numPr>
          <w:ilvl w:val="0"/>
          <w:numId w:val="2"/>
        </w:numPr>
        <w:tabs>
          <w:tab w:val="clear" w:pos="1134"/>
          <w:tab w:val="left" w:pos="709" w:leader="none"/>
        </w:tabs>
        <w:bidi w:val="0"/>
        <w:spacing w:before="0" w:after="0"/>
        <w:ind w:hanging="283" w:left="709"/>
        <w:jc w:val="left"/>
        <w:rPr/>
      </w:pPr>
      <w:r>
        <w:rPr/>
        <w:t xml:space="preserve">agents that route among multiple models or providers </w:t>
      </w:r>
    </w:p>
    <w:p>
      <w:pPr>
        <w:pStyle w:val="BodyText"/>
        <w:numPr>
          <w:ilvl w:val="0"/>
          <w:numId w:val="2"/>
        </w:numPr>
        <w:tabs>
          <w:tab w:val="clear" w:pos="1134"/>
          <w:tab w:val="left" w:pos="709" w:leader="none"/>
        </w:tabs>
        <w:bidi w:val="0"/>
        <w:spacing w:before="0" w:after="0"/>
        <w:ind w:hanging="283" w:left="709"/>
        <w:jc w:val="left"/>
        <w:rPr/>
      </w:pPr>
      <w:r>
        <w:rPr/>
        <w:t xml:space="preserve">agents that act with tools, memory, retrieval, or delegated authority </w:t>
      </w:r>
    </w:p>
    <w:p>
      <w:pPr>
        <w:pStyle w:val="BodyText"/>
        <w:numPr>
          <w:ilvl w:val="0"/>
          <w:numId w:val="2"/>
        </w:numPr>
        <w:tabs>
          <w:tab w:val="clear" w:pos="1134"/>
          <w:tab w:val="left" w:pos="709" w:leader="none"/>
        </w:tabs>
        <w:bidi w:val="0"/>
        <w:ind w:hanging="283" w:left="709"/>
        <w:jc w:val="left"/>
        <w:rPr/>
      </w:pPr>
      <w:r>
        <w:rPr/>
        <w:t xml:space="preserve">internal, federated, and public-facing agent operating profiles </w:t>
      </w:r>
    </w:p>
    <w:p>
      <w:pPr>
        <w:pStyle w:val="BodyText"/>
        <w:bidi w:val="0"/>
        <w:jc w:val="left"/>
        <w:rPr/>
      </w:pPr>
      <w:r>
        <w:rPr/>
        <w:t>This profile does not:</w:t>
      </w:r>
    </w:p>
    <w:p>
      <w:pPr>
        <w:pStyle w:val="BodyText"/>
        <w:numPr>
          <w:ilvl w:val="0"/>
          <w:numId w:val="3"/>
        </w:numPr>
        <w:tabs>
          <w:tab w:val="clear" w:pos="1134"/>
          <w:tab w:val="left" w:pos="709" w:leader="none"/>
        </w:tabs>
        <w:bidi w:val="0"/>
        <w:spacing w:before="0" w:after="0"/>
        <w:ind w:hanging="283" w:left="709"/>
        <w:jc w:val="left"/>
        <w:rPr/>
      </w:pPr>
      <w:r>
        <w:rPr/>
        <w:t xml:space="preserve">define a universal ontology of every occupation </w:t>
      </w:r>
    </w:p>
    <w:p>
      <w:pPr>
        <w:pStyle w:val="BodyText"/>
        <w:numPr>
          <w:ilvl w:val="0"/>
          <w:numId w:val="3"/>
        </w:numPr>
        <w:tabs>
          <w:tab w:val="clear" w:pos="1134"/>
          <w:tab w:val="left" w:pos="709" w:leader="none"/>
        </w:tabs>
        <w:bidi w:val="0"/>
        <w:spacing w:before="0" w:after="0"/>
        <w:ind w:hanging="283" w:left="709"/>
        <w:jc w:val="left"/>
        <w:rPr/>
      </w:pPr>
      <w:r>
        <w:rPr/>
        <w:t xml:space="preserve">define global agent identity; </w:t>
      </w:r>
      <w:r>
        <w:rPr>
          <w:rStyle w:val="SourceText"/>
        </w:rPr>
        <w:t>GAID</w:t>
      </w:r>
      <w:r>
        <w:rPr/>
        <w:t xml:space="preserve"> owns that concern </w:t>
      </w:r>
    </w:p>
    <w:p>
      <w:pPr>
        <w:pStyle w:val="BodyText"/>
        <w:numPr>
          <w:ilvl w:val="0"/>
          <w:numId w:val="3"/>
        </w:numPr>
        <w:tabs>
          <w:tab w:val="clear" w:pos="1134"/>
          <w:tab w:val="left" w:pos="709" w:leader="none"/>
        </w:tabs>
        <w:bidi w:val="0"/>
        <w:spacing w:before="0" w:after="0"/>
        <w:ind w:hanging="283" w:left="709"/>
        <w:jc w:val="left"/>
        <w:rPr/>
      </w:pPr>
      <w:r>
        <w:rPr/>
        <w:t xml:space="preserve">define live authorization or tool enforcement; </w:t>
      </w:r>
      <w:r>
        <w:rPr>
          <w:rStyle w:val="SourceText"/>
        </w:rPr>
        <w:t>TAK</w:t>
      </w:r>
      <w:r>
        <w:rPr/>
        <w:t xml:space="preserve"> owns that concern </w:t>
      </w:r>
    </w:p>
    <w:p>
      <w:pPr>
        <w:pStyle w:val="BodyText"/>
        <w:numPr>
          <w:ilvl w:val="0"/>
          <w:numId w:val="3"/>
        </w:numPr>
        <w:tabs>
          <w:tab w:val="clear" w:pos="1134"/>
          <w:tab w:val="left" w:pos="709" w:leader="none"/>
        </w:tabs>
        <w:bidi w:val="0"/>
        <w:spacing w:before="0" w:after="0"/>
        <w:ind w:hanging="283" w:left="709"/>
        <w:jc w:val="left"/>
        <w:rPr/>
      </w:pPr>
      <w:r>
        <w:rPr/>
        <w:t xml:space="preserve">replace profession doctrine such as DPF's </w:t>
      </w:r>
      <w:r>
        <w:rPr>
          <w:rStyle w:val="SourceText"/>
        </w:rPr>
        <w:t>WSID</w:t>
      </w:r>
      <w:r>
        <w:rPr/>
        <w:t xml:space="preserve"> </w:t>
      </w:r>
    </w:p>
    <w:p>
      <w:pPr>
        <w:pStyle w:val="BodyText"/>
        <w:numPr>
          <w:ilvl w:val="0"/>
          <w:numId w:val="3"/>
        </w:numPr>
        <w:tabs>
          <w:tab w:val="clear" w:pos="1134"/>
          <w:tab w:val="left" w:pos="709" w:leader="none"/>
        </w:tabs>
        <w:bidi w:val="0"/>
        <w:spacing w:before="0" w:after="0"/>
        <w:ind w:hanging="283" w:left="709"/>
        <w:jc w:val="left"/>
        <w:rPr/>
      </w:pPr>
      <w:r>
        <w:rPr/>
        <w:t xml:space="preserve">prescribe one model vendor, benchmark, prompt format, or harness implementation </w:t>
      </w:r>
    </w:p>
    <w:p>
      <w:pPr>
        <w:pStyle w:val="BodyText"/>
        <w:numPr>
          <w:ilvl w:val="0"/>
          <w:numId w:val="3"/>
        </w:numPr>
        <w:tabs>
          <w:tab w:val="clear" w:pos="1134"/>
          <w:tab w:val="left" w:pos="709" w:leader="none"/>
        </w:tabs>
        <w:bidi w:val="0"/>
        <w:ind w:hanging="283" w:left="709"/>
        <w:jc w:val="left"/>
        <w:rPr/>
      </w:pPr>
      <w:r>
        <w:rPr/>
        <w:t xml:space="preserve">claim that passing an evaluation makes unrestricted autonomy safe </w:t>
      </w:r>
    </w:p>
    <w:p>
      <w:pPr>
        <w:pStyle w:val="Heading2"/>
        <w:bidi w:val="0"/>
        <w:jc w:val="left"/>
        <w:rPr/>
      </w:pPr>
      <w:r>
        <w:rPr/>
        <w:t>2. Conformance</w:t>
      </w:r>
    </w:p>
    <w:p>
      <w:pPr>
        <w:pStyle w:val="BodyText"/>
        <w:bidi w:val="0"/>
        <w:jc w:val="left"/>
        <w:rPr/>
      </w:pPr>
      <w:r>
        <w:rPr/>
        <w:t xml:space="preserve">An implementation conforms only if it satisfies every </w:t>
      </w:r>
      <w:r>
        <w:rPr>
          <w:rStyle w:val="SourceText"/>
        </w:rPr>
        <w:t>MUST</w:t>
      </w:r>
      <w:r>
        <w:rPr/>
        <w:t xml:space="preserve"> for its claimed profile.</w:t>
      </w:r>
    </w:p>
    <w:p>
      <w:pPr>
        <w:pStyle w:val="BodyText"/>
        <w:bidi w:val="0"/>
        <w:jc w:val="left"/>
        <w:rPr/>
      </w:pPr>
      <w:r>
        <w:rPr/>
        <w:t>This standard defines three conformance profiles:</w:t>
      </w:r>
    </w:p>
    <w:tbl>
      <w:tblPr>
        <w:tblW w:w="17791" w:type="dxa"/>
        <w:jc w:val="left"/>
        <w:tblInd w:w="0" w:type="dxa"/>
        <w:tblLayout w:type="fixed"/>
        <w:tblCellMar>
          <w:top w:w="28" w:type="dxa"/>
          <w:left w:w="28" w:type="dxa"/>
          <w:bottom w:w="28" w:type="dxa"/>
          <w:right w:w="28" w:type="dxa"/>
        </w:tblCellMar>
      </w:tblPr>
      <w:tblGrid>
        <w:gridCol w:w="2569"/>
        <w:gridCol w:w="15222"/>
      </w:tblGrid>
      <w:tr>
        <w:trPr>
          <w:tblHeader w:val="true"/>
        </w:trPr>
        <w:tc>
          <w:tcPr>
            <w:tcW w:w="2569" w:type="dxa"/>
            <w:tcBorders/>
            <w:vAlign w:val="center"/>
          </w:tcPr>
          <w:p>
            <w:pPr>
              <w:pStyle w:val="TableHeading"/>
              <w:suppressLineNumbers/>
              <w:bidi w:val="0"/>
              <w:spacing w:before="0" w:after="283"/>
              <w:jc w:val="center"/>
              <w:rPr/>
            </w:pPr>
            <w:r>
              <w:rPr/>
              <w:t>Profile</w:t>
            </w:r>
          </w:p>
        </w:tc>
        <w:tc>
          <w:tcPr>
            <w:tcW w:w="15222" w:type="dxa"/>
            <w:tcBorders/>
            <w:vAlign w:val="center"/>
          </w:tcPr>
          <w:p>
            <w:pPr>
              <w:pStyle w:val="TableHeading"/>
              <w:suppressLineNumbers/>
              <w:bidi w:val="0"/>
              <w:spacing w:before="0" w:after="283"/>
              <w:jc w:val="center"/>
              <w:rPr/>
            </w:pPr>
            <w:r>
              <w:rPr/>
              <w:t>Meaning</w:t>
            </w:r>
          </w:p>
        </w:tc>
      </w:tr>
      <w:tr>
        <w:trPr/>
        <w:tc>
          <w:tcPr>
            <w:tcW w:w="2569" w:type="dxa"/>
            <w:tcBorders/>
            <w:vAlign w:val="center"/>
          </w:tcPr>
          <w:p>
            <w:pPr>
              <w:pStyle w:val="TableContents"/>
              <w:bidi w:val="0"/>
              <w:spacing w:before="0" w:after="283"/>
              <w:jc w:val="left"/>
              <w:rPr/>
            </w:pPr>
            <w:r>
              <w:rPr>
                <w:rStyle w:val="SourceText"/>
              </w:rPr>
              <w:t>TAK-JSI-Defined</w:t>
            </w:r>
          </w:p>
        </w:tc>
        <w:tc>
          <w:tcPr>
            <w:tcW w:w="15222" w:type="dxa"/>
            <w:tcBorders/>
            <w:vAlign w:val="center"/>
          </w:tcPr>
          <w:p>
            <w:pPr>
              <w:pStyle w:val="TableContents"/>
              <w:bidi w:val="0"/>
              <w:spacing w:before="0" w:after="283"/>
              <w:jc w:val="left"/>
              <w:rPr/>
            </w:pPr>
            <w:r>
              <w:rPr/>
              <w:t>A versioned job profile, qualification scheme, constraints, and evidence requirements exist. No claim of demonstrated job performance is implied.</w:t>
            </w:r>
          </w:p>
        </w:tc>
      </w:tr>
      <w:tr>
        <w:trPr/>
        <w:tc>
          <w:tcPr>
            <w:tcW w:w="2569" w:type="dxa"/>
            <w:tcBorders/>
            <w:vAlign w:val="center"/>
          </w:tcPr>
          <w:p>
            <w:pPr>
              <w:pStyle w:val="TableContents"/>
              <w:bidi w:val="0"/>
              <w:spacing w:before="0" w:after="283"/>
              <w:jc w:val="left"/>
              <w:rPr/>
            </w:pPr>
            <w:r>
              <w:rPr>
                <w:rStyle w:val="SourceText"/>
              </w:rPr>
              <w:t>TAK-JSI-Assessed</w:t>
            </w:r>
          </w:p>
        </w:tc>
        <w:tc>
          <w:tcPr>
            <w:tcW w:w="15222" w:type="dxa"/>
            <w:tcBorders/>
            <w:vAlign w:val="center"/>
          </w:tcPr>
          <w:p>
            <w:pPr>
              <w:pStyle w:val="TableContents"/>
              <w:bidi w:val="0"/>
              <w:spacing w:before="0" w:after="283"/>
              <w:jc w:val="left"/>
              <w:rPr/>
            </w:pPr>
            <w:r>
              <w:rPr/>
              <w:t>A specific versioned agent operating profile has passed the declared assessment plan under representative conditions.</w:t>
            </w:r>
          </w:p>
        </w:tc>
      </w:tr>
      <w:tr>
        <w:trPr/>
        <w:tc>
          <w:tcPr>
            <w:tcW w:w="2569" w:type="dxa"/>
            <w:tcBorders/>
            <w:vAlign w:val="center"/>
          </w:tcPr>
          <w:p>
            <w:pPr>
              <w:pStyle w:val="TableContents"/>
              <w:bidi w:val="0"/>
              <w:spacing w:before="0" w:after="283"/>
              <w:jc w:val="left"/>
              <w:rPr/>
            </w:pPr>
            <w:r>
              <w:rPr>
                <w:rStyle w:val="SourceText"/>
              </w:rPr>
              <w:t>TAK-JSI-Qualified</w:t>
            </w:r>
          </w:p>
        </w:tc>
        <w:tc>
          <w:tcPr>
            <w:tcW w:w="15222" w:type="dxa"/>
            <w:tcBorders/>
            <w:vAlign w:val="center"/>
          </w:tcPr>
          <w:p>
            <w:pPr>
              <w:pStyle w:val="TableContents"/>
              <w:bidi w:val="0"/>
              <w:spacing w:before="0" w:after="283"/>
              <w:jc w:val="left"/>
              <w:rPr/>
            </w:pPr>
            <w:r>
              <w:rPr/>
              <w:t>The assessed profile also has governed operational evidence, surveillance/revalidation rules, GAID-bound status, and an enforceable TAK autonomy ceiling.</w:t>
            </w:r>
          </w:p>
        </w:tc>
      </w:tr>
    </w:tbl>
    <w:p>
      <w:pPr>
        <w:pStyle w:val="BodyText"/>
        <w:bidi w:val="0"/>
        <w:jc w:val="left"/>
        <w:rPr/>
      </w:pPr>
      <w:r>
        <w:rPr/>
        <w:t>An implementation:</w:t>
      </w:r>
    </w:p>
    <w:p>
      <w:pPr>
        <w:pStyle w:val="BodyText"/>
        <w:numPr>
          <w:ilvl w:val="0"/>
          <w:numId w:val="4"/>
        </w:numPr>
        <w:tabs>
          <w:tab w:val="clear" w:pos="1134"/>
          <w:tab w:val="left" w:pos="709" w:leader="none"/>
        </w:tabs>
        <w:bidi w:val="0"/>
        <w:spacing w:before="0" w:after="0"/>
        <w:ind w:hanging="283" w:left="709"/>
        <w:jc w:val="left"/>
        <w:rPr/>
      </w:pPr>
      <w:r>
        <w:rPr>
          <w:rStyle w:val="SourceText"/>
        </w:rPr>
        <w:t>MUST</w:t>
      </w:r>
      <w:r>
        <w:rPr/>
        <w:t xml:space="preserve"> declare the supported </w:t>
      </w:r>
      <w:r>
        <w:rPr>
          <w:rStyle w:val="SourceText"/>
        </w:rPr>
        <w:t>TAK-JSI</w:t>
      </w:r>
      <w:r>
        <w:rPr/>
        <w:t xml:space="preserve"> version </w:t>
      </w:r>
    </w:p>
    <w:p>
      <w:pPr>
        <w:pStyle w:val="BodyText"/>
        <w:numPr>
          <w:ilvl w:val="0"/>
          <w:numId w:val="4"/>
        </w:numPr>
        <w:tabs>
          <w:tab w:val="clear" w:pos="1134"/>
          <w:tab w:val="left" w:pos="709" w:leader="none"/>
        </w:tabs>
        <w:bidi w:val="0"/>
        <w:spacing w:before="0" w:after="0"/>
        <w:ind w:hanging="283" w:left="709"/>
        <w:jc w:val="left"/>
        <w:rPr/>
      </w:pPr>
      <w:r>
        <w:rPr>
          <w:rStyle w:val="SourceText"/>
        </w:rPr>
        <w:t>MUST</w:t>
      </w:r>
      <w:r>
        <w:rPr/>
        <w:t xml:space="preserve"> declare the highest conformance profile claimed </w:t>
      </w:r>
    </w:p>
    <w:p>
      <w:pPr>
        <w:pStyle w:val="BodyText"/>
        <w:numPr>
          <w:ilvl w:val="0"/>
          <w:numId w:val="4"/>
        </w:numPr>
        <w:tabs>
          <w:tab w:val="clear" w:pos="1134"/>
          <w:tab w:val="left" w:pos="709" w:leader="none"/>
        </w:tabs>
        <w:bidi w:val="0"/>
        <w:spacing w:before="0" w:after="0"/>
        <w:ind w:hanging="283" w:left="709"/>
        <w:jc w:val="left"/>
        <w:rPr/>
      </w:pPr>
      <w:r>
        <w:rPr>
          <w:rStyle w:val="SourceText"/>
        </w:rPr>
        <w:t>MUST NOT</w:t>
      </w:r>
      <w:r>
        <w:rPr/>
        <w:t xml:space="preserve"> use </w:t>
      </w:r>
      <w:r>
        <w:rPr>
          <w:rStyle w:val="SourceText"/>
        </w:rPr>
        <w:t>qualified</w:t>
      </w:r>
      <w:r>
        <w:rPr/>
        <w:t xml:space="preserve"> for a merely defined or self-described job profile </w:t>
      </w:r>
    </w:p>
    <w:p>
      <w:pPr>
        <w:pStyle w:val="BodyText"/>
        <w:numPr>
          <w:ilvl w:val="0"/>
          <w:numId w:val="4"/>
        </w:numPr>
        <w:tabs>
          <w:tab w:val="clear" w:pos="1134"/>
          <w:tab w:val="left" w:pos="709" w:leader="none"/>
        </w:tabs>
        <w:bidi w:val="0"/>
        <w:spacing w:before="0" w:after="0"/>
        <w:ind w:hanging="283" w:left="709"/>
        <w:jc w:val="left"/>
        <w:rPr/>
      </w:pPr>
      <w:r>
        <w:rPr>
          <w:rStyle w:val="SourceText"/>
        </w:rPr>
        <w:t>MUST</w:t>
      </w:r>
      <w:r>
        <w:rPr/>
        <w:t xml:space="preserve"> identify whether an assertion is self-asserted, organization-attested, independently-assessed, or accredited-certified </w:t>
      </w:r>
    </w:p>
    <w:p>
      <w:pPr>
        <w:pStyle w:val="BodyText"/>
        <w:numPr>
          <w:ilvl w:val="0"/>
          <w:numId w:val="4"/>
        </w:numPr>
        <w:tabs>
          <w:tab w:val="clear" w:pos="1134"/>
          <w:tab w:val="left" w:pos="709" w:leader="none"/>
        </w:tabs>
        <w:bidi w:val="0"/>
        <w:spacing w:before="0" w:after="0"/>
        <w:ind w:hanging="283" w:left="709"/>
        <w:jc w:val="left"/>
        <w:rPr/>
      </w:pPr>
      <w:r>
        <w:rPr>
          <w:rStyle w:val="SourceText"/>
        </w:rPr>
        <w:t>MUST</w:t>
      </w:r>
      <w:r>
        <w:rPr/>
        <w:t xml:space="preserve"> publish or retain an assertion-to-evidence mapping </w:t>
      </w:r>
    </w:p>
    <w:p>
      <w:pPr>
        <w:pStyle w:val="BodyText"/>
        <w:numPr>
          <w:ilvl w:val="0"/>
          <w:numId w:val="4"/>
        </w:numPr>
        <w:tabs>
          <w:tab w:val="clear" w:pos="1134"/>
          <w:tab w:val="left" w:pos="709" w:leader="none"/>
        </w:tabs>
        <w:bidi w:val="0"/>
        <w:ind w:hanging="283" w:left="709"/>
        <w:jc w:val="left"/>
        <w:rPr/>
      </w:pPr>
      <w:r>
        <w:rPr>
          <w:rStyle w:val="SourceText"/>
        </w:rPr>
        <w:t>SHOULD</w:t>
      </w:r>
      <w:r>
        <w:rPr/>
        <w:t xml:space="preserve"> publish a machine-readable implementation statement </w:t>
      </w:r>
    </w:p>
    <w:p>
      <w:pPr>
        <w:pStyle w:val="Heading3"/>
        <w:bidi w:val="0"/>
        <w:jc w:val="left"/>
        <w:rPr/>
      </w:pPr>
      <w:r>
        <w:rPr/>
        <w:t>2.1 Versioning</w:t>
      </w:r>
    </w:p>
    <w:p>
      <w:pPr>
        <w:pStyle w:val="BodyText"/>
        <w:bidi w:val="0"/>
        <w:jc w:val="left"/>
        <w:rPr/>
      </w:pPr>
      <w:r>
        <w:rPr>
          <w:rStyle w:val="SourceText"/>
        </w:rPr>
        <w:t>TAK-JSI</w:t>
      </w:r>
      <w:r>
        <w:rPr/>
        <w:t xml:space="preserve"> </w:t>
      </w:r>
      <w:r>
        <w:rPr>
          <w:rStyle w:val="SourceText"/>
        </w:rPr>
        <w:t>SHOULD</w:t>
      </w:r>
      <w:r>
        <w:rPr/>
        <w:t xml:space="preserve"> use semantic-style versioning:</w:t>
      </w:r>
    </w:p>
    <w:p>
      <w:pPr>
        <w:pStyle w:val="BodyText"/>
        <w:numPr>
          <w:ilvl w:val="0"/>
          <w:numId w:val="5"/>
        </w:numPr>
        <w:tabs>
          <w:tab w:val="clear" w:pos="1134"/>
          <w:tab w:val="left" w:pos="709" w:leader="none"/>
        </w:tabs>
        <w:bidi w:val="0"/>
        <w:spacing w:before="0" w:after="0"/>
        <w:ind w:hanging="283" w:left="709"/>
        <w:jc w:val="left"/>
        <w:rPr/>
      </w:pPr>
      <w:r>
        <w:rPr/>
        <w:t xml:space="preserve">major versions for incompatible normative changes </w:t>
      </w:r>
    </w:p>
    <w:p>
      <w:pPr>
        <w:pStyle w:val="BodyText"/>
        <w:numPr>
          <w:ilvl w:val="0"/>
          <w:numId w:val="5"/>
        </w:numPr>
        <w:tabs>
          <w:tab w:val="clear" w:pos="1134"/>
          <w:tab w:val="left" w:pos="709" w:leader="none"/>
        </w:tabs>
        <w:bidi w:val="0"/>
        <w:spacing w:before="0" w:after="0"/>
        <w:ind w:hanging="283" w:left="709"/>
        <w:jc w:val="left"/>
        <w:rPr/>
      </w:pPr>
      <w:r>
        <w:rPr/>
        <w:t xml:space="preserve">minor versions for additive requirements or profiles </w:t>
      </w:r>
    </w:p>
    <w:p>
      <w:pPr>
        <w:pStyle w:val="BodyText"/>
        <w:numPr>
          <w:ilvl w:val="0"/>
          <w:numId w:val="5"/>
        </w:numPr>
        <w:tabs>
          <w:tab w:val="clear" w:pos="1134"/>
          <w:tab w:val="left" w:pos="709" w:leader="none"/>
        </w:tabs>
        <w:bidi w:val="0"/>
        <w:ind w:hanging="283" w:left="709"/>
        <w:jc w:val="left"/>
        <w:rPr/>
      </w:pPr>
      <w:r>
        <w:rPr/>
        <w:t xml:space="preserve">patch versions for clarifications and errata </w:t>
      </w:r>
    </w:p>
    <w:p>
      <w:pPr>
        <w:pStyle w:val="BodyText"/>
        <w:bidi w:val="0"/>
        <w:jc w:val="left"/>
        <w:rPr/>
      </w:pPr>
      <w:r>
        <w:rPr/>
        <w:t xml:space="preserve">Job profiles, qualification schemes, and qualification records </w:t>
      </w:r>
      <w:r>
        <w:rPr>
          <w:rStyle w:val="SourceText"/>
        </w:rPr>
        <w:t>MUST</w:t>
      </w:r>
      <w:r>
        <w:rPr/>
        <w:t xml:space="preserve"> each have their own version or immutable identifier. Updating this standard does not silently update a job qualification, and updating a job profile does not silently preserve an earlier qualification.</w:t>
      </w:r>
    </w:p>
    <w:p>
      <w:pPr>
        <w:pStyle w:val="Heading2"/>
        <w:bidi w:val="0"/>
        <w:jc w:val="left"/>
        <w:rPr/>
      </w:pPr>
      <w:r>
        <w:rPr/>
        <w:t>3. References</w:t>
      </w:r>
    </w:p>
    <w:p>
      <w:pPr>
        <w:pStyle w:val="Heading3"/>
        <w:bidi w:val="0"/>
        <w:jc w:val="left"/>
        <w:rPr/>
      </w:pPr>
      <w:r>
        <w:rPr/>
        <w:t>3.1 Normative References</w:t>
      </w:r>
    </w:p>
    <w:p>
      <w:pPr>
        <w:pStyle w:val="BodyText"/>
        <w:bidi w:val="0"/>
        <w:jc w:val="left"/>
        <w:rPr/>
      </w:pPr>
      <w:r>
        <w:rPr/>
        <w:t>The following companion standards are indispensable to applying this profile:</w:t>
      </w:r>
    </w:p>
    <w:tbl>
      <w:tblPr>
        <w:tblW w:w="13565" w:type="dxa"/>
        <w:jc w:val="left"/>
        <w:tblInd w:w="0" w:type="dxa"/>
        <w:tblLayout w:type="fixed"/>
        <w:tblCellMar>
          <w:top w:w="28" w:type="dxa"/>
          <w:left w:w="28" w:type="dxa"/>
          <w:bottom w:w="28" w:type="dxa"/>
          <w:right w:w="28" w:type="dxa"/>
        </w:tblCellMar>
      </w:tblPr>
      <w:tblGrid>
        <w:gridCol w:w="1879"/>
        <w:gridCol w:w="11686"/>
      </w:tblGrid>
      <w:tr>
        <w:trPr>
          <w:tblHeader w:val="true"/>
        </w:trPr>
        <w:tc>
          <w:tcPr>
            <w:tcW w:w="1879" w:type="dxa"/>
            <w:tcBorders/>
            <w:vAlign w:val="center"/>
          </w:tcPr>
          <w:p>
            <w:pPr>
              <w:pStyle w:val="TableHeading"/>
              <w:suppressLineNumbers/>
              <w:bidi w:val="0"/>
              <w:spacing w:before="0" w:after="283"/>
              <w:jc w:val="center"/>
              <w:rPr/>
            </w:pPr>
            <w:r>
              <w:rPr/>
              <w:t>Reference</w:t>
            </w:r>
          </w:p>
        </w:tc>
        <w:tc>
          <w:tcPr>
            <w:tcW w:w="11686" w:type="dxa"/>
            <w:tcBorders/>
            <w:vAlign w:val="center"/>
          </w:tcPr>
          <w:p>
            <w:pPr>
              <w:pStyle w:val="TableHeading"/>
              <w:suppressLineNumbers/>
              <w:bidi w:val="0"/>
              <w:spacing w:before="0" w:after="283"/>
              <w:jc w:val="center"/>
              <w:rPr/>
            </w:pPr>
            <w:r>
              <w:rPr/>
              <w:t>Normative relationship</w:t>
            </w:r>
          </w:p>
        </w:tc>
      </w:tr>
      <w:tr>
        <w:trPr/>
        <w:tc>
          <w:tcPr>
            <w:tcW w:w="1879" w:type="dxa"/>
            <w:tcBorders/>
            <w:vAlign w:val="center"/>
          </w:tcPr>
          <w:p>
            <w:pPr>
              <w:pStyle w:val="TableContents"/>
              <w:bidi w:val="0"/>
              <w:spacing w:before="0" w:after="283"/>
              <w:jc w:val="left"/>
              <w:rPr/>
            </w:pPr>
            <w:hyperlink r:id="rId2">
              <w:r>
                <w:rPr>
                  <w:rStyle w:val="Hyperlink"/>
                </w:rPr>
                <w:t>Trusted AI Kernel</w:t>
              </w:r>
            </w:hyperlink>
          </w:p>
        </w:tc>
        <w:tc>
          <w:tcPr>
            <w:tcW w:w="11686" w:type="dxa"/>
            <w:tcBorders/>
            <w:vAlign w:val="center"/>
          </w:tcPr>
          <w:p>
            <w:pPr>
              <w:pStyle w:val="TableContents"/>
              <w:bidi w:val="0"/>
              <w:spacing w:before="0" w:after="283"/>
              <w:jc w:val="left"/>
              <w:rPr/>
            </w:pPr>
            <w:r>
              <w:rPr/>
              <w:t>Defines runtime authority, oversight, tool/data enforcement, material-change handling, evidence, and autonomy ceilings</w:t>
            </w:r>
          </w:p>
        </w:tc>
      </w:tr>
      <w:tr>
        <w:trPr/>
        <w:tc>
          <w:tcPr>
            <w:tcW w:w="1879" w:type="dxa"/>
            <w:tcBorders/>
            <w:vAlign w:val="center"/>
          </w:tcPr>
          <w:p>
            <w:pPr>
              <w:pStyle w:val="TableContents"/>
              <w:bidi w:val="0"/>
              <w:spacing w:before="0" w:after="283"/>
              <w:jc w:val="left"/>
              <w:rPr/>
            </w:pPr>
            <w:hyperlink r:id="rId3">
              <w:r>
                <w:rPr>
                  <w:rStyle w:val="Hyperlink"/>
                </w:rPr>
                <w:t>GAID</w:t>
              </w:r>
            </w:hyperlink>
          </w:p>
        </w:tc>
        <w:tc>
          <w:tcPr>
            <w:tcW w:w="11686" w:type="dxa"/>
            <w:tcBorders/>
            <w:vAlign w:val="center"/>
          </w:tcPr>
          <w:p>
            <w:pPr>
              <w:pStyle w:val="TableContents"/>
              <w:bidi w:val="0"/>
              <w:spacing w:before="0" w:after="283"/>
              <w:jc w:val="left"/>
              <w:rPr/>
            </w:pPr>
            <w:r>
              <w:rPr/>
              <w:t>Defines agent identity, operating-profile binding, badges, status, receipts, and verification</w:t>
            </w:r>
          </w:p>
        </w:tc>
      </w:tr>
    </w:tbl>
    <w:p>
      <w:pPr>
        <w:pStyle w:val="Heading3"/>
        <w:bidi w:val="0"/>
        <w:jc w:val="left"/>
        <w:rPr/>
      </w:pPr>
      <w:r>
        <w:rPr/>
        <w:t>3.2 Informative External References</w:t>
      </w:r>
    </w:p>
    <w:p>
      <w:pPr>
        <w:pStyle w:val="BodyText"/>
        <w:bidi w:val="0"/>
        <w:jc w:val="left"/>
        <w:rPr/>
      </w:pPr>
      <w:r>
        <w:rPr/>
        <w:t xml:space="preserve">The following references informed this profile. The exact relationship—adoption, profiling, augmentation, mapping, or adjacency—is maintained in the informative </w:t>
      </w:r>
      <w:hyperlink r:id="rId4">
        <w:r>
          <w:rPr>
            <w:rStyle w:val="Hyperlink"/>
          </w:rPr>
          <w:t>External Standards Alignment</w:t>
        </w:r>
      </w:hyperlink>
      <w:r>
        <w:rPr/>
        <w:t xml:space="preserve"> companion. Active drafts and committee projects are identified as such and are not represented as completed standards.</w:t>
      </w:r>
    </w:p>
    <w:tbl>
      <w:tblPr>
        <w:tblW w:w="23424" w:type="dxa"/>
        <w:jc w:val="left"/>
        <w:tblInd w:w="0" w:type="dxa"/>
        <w:tblLayout w:type="fixed"/>
        <w:tblCellMar>
          <w:top w:w="28" w:type="dxa"/>
          <w:left w:w="28" w:type="dxa"/>
          <w:bottom w:w="28" w:type="dxa"/>
          <w:right w:w="28" w:type="dxa"/>
        </w:tblCellMar>
      </w:tblPr>
      <w:tblGrid>
        <w:gridCol w:w="6517"/>
        <w:gridCol w:w="16907"/>
      </w:tblGrid>
      <w:tr>
        <w:trPr>
          <w:tblHeader w:val="true"/>
        </w:trPr>
        <w:tc>
          <w:tcPr>
            <w:tcW w:w="6517" w:type="dxa"/>
            <w:tcBorders/>
            <w:vAlign w:val="center"/>
          </w:tcPr>
          <w:p>
            <w:pPr>
              <w:pStyle w:val="TableHeading"/>
              <w:suppressLineNumbers/>
              <w:bidi w:val="0"/>
              <w:spacing w:before="0" w:after="283"/>
              <w:jc w:val="center"/>
              <w:rPr/>
            </w:pPr>
            <w:r>
              <w:rPr/>
              <w:t>Reference</w:t>
            </w:r>
          </w:p>
        </w:tc>
        <w:tc>
          <w:tcPr>
            <w:tcW w:w="16907" w:type="dxa"/>
            <w:tcBorders/>
            <w:vAlign w:val="center"/>
          </w:tcPr>
          <w:p>
            <w:pPr>
              <w:pStyle w:val="TableHeading"/>
              <w:suppressLineNumbers/>
              <w:bidi w:val="0"/>
              <w:spacing w:before="0" w:after="283"/>
              <w:jc w:val="center"/>
              <w:rPr/>
            </w:pPr>
            <w:r>
              <w:rPr/>
              <w:t>Relevance</w:t>
            </w:r>
          </w:p>
        </w:tc>
      </w:tr>
      <w:tr>
        <w:trPr/>
        <w:tc>
          <w:tcPr>
            <w:tcW w:w="6517" w:type="dxa"/>
            <w:tcBorders/>
            <w:vAlign w:val="center"/>
          </w:tcPr>
          <w:p>
            <w:pPr>
              <w:pStyle w:val="TableContents"/>
              <w:bidi w:val="0"/>
              <w:spacing w:before="0" w:after="283"/>
              <w:jc w:val="left"/>
              <w:rPr/>
            </w:pPr>
            <w:hyperlink r:id="rId5">
              <w:r>
                <w:rPr>
                  <w:rStyle w:val="Hyperlink"/>
                </w:rPr>
                <w:t>NIST AI RMF 1.0</w:t>
              </w:r>
            </w:hyperlink>
          </w:p>
        </w:tc>
        <w:tc>
          <w:tcPr>
            <w:tcW w:w="16907" w:type="dxa"/>
            <w:tcBorders/>
            <w:vAlign w:val="center"/>
          </w:tcPr>
          <w:p>
            <w:pPr>
              <w:pStyle w:val="TableContents"/>
              <w:bidi w:val="0"/>
              <w:spacing w:before="0" w:after="283"/>
              <w:jc w:val="left"/>
              <w:rPr/>
            </w:pPr>
            <w:r>
              <w:rPr/>
              <w:t>Context-of-use risk mapping, measurement, monitoring, and management</w:t>
            </w:r>
          </w:p>
        </w:tc>
      </w:tr>
      <w:tr>
        <w:trPr/>
        <w:tc>
          <w:tcPr>
            <w:tcW w:w="6517" w:type="dxa"/>
            <w:tcBorders/>
            <w:vAlign w:val="center"/>
          </w:tcPr>
          <w:p>
            <w:pPr>
              <w:pStyle w:val="TableContents"/>
              <w:bidi w:val="0"/>
              <w:spacing w:before="0" w:after="283"/>
              <w:jc w:val="left"/>
              <w:rPr/>
            </w:pPr>
            <w:hyperlink r:id="rId6">
              <w:r>
                <w:rPr>
                  <w:rStyle w:val="Hyperlink"/>
                </w:rPr>
                <w:t>NIST AI RMF Playbook - Measure</w:t>
              </w:r>
            </w:hyperlink>
          </w:p>
        </w:tc>
        <w:tc>
          <w:tcPr>
            <w:tcW w:w="16907" w:type="dxa"/>
            <w:tcBorders/>
            <w:vAlign w:val="center"/>
          </w:tcPr>
          <w:p>
            <w:pPr>
              <w:pStyle w:val="TableContents"/>
              <w:bidi w:val="0"/>
              <w:spacing w:before="0" w:after="283"/>
              <w:jc w:val="left"/>
              <w:rPr/>
            </w:pPr>
            <w:r>
              <w:rPr/>
              <w:t>Fit-for-purpose evaluation, representative conditions, uncertainty, limits, and ongoing monitoring</w:t>
            </w:r>
          </w:p>
        </w:tc>
      </w:tr>
      <w:tr>
        <w:trPr/>
        <w:tc>
          <w:tcPr>
            <w:tcW w:w="6517" w:type="dxa"/>
            <w:tcBorders/>
            <w:vAlign w:val="center"/>
          </w:tcPr>
          <w:p>
            <w:pPr>
              <w:pStyle w:val="TableContents"/>
              <w:bidi w:val="0"/>
              <w:spacing w:before="0" w:after="283"/>
              <w:jc w:val="left"/>
              <w:rPr/>
            </w:pPr>
            <w:hyperlink r:id="rId7">
              <w:r>
                <w:rPr>
                  <w:rStyle w:val="Hyperlink"/>
                </w:rPr>
                <w:t>NIST AI Agent Standards Initiative</w:t>
              </w:r>
            </w:hyperlink>
          </w:p>
        </w:tc>
        <w:tc>
          <w:tcPr>
            <w:tcW w:w="16907" w:type="dxa"/>
            <w:tcBorders/>
            <w:vAlign w:val="center"/>
          </w:tcPr>
          <w:p>
            <w:pPr>
              <w:pStyle w:val="TableContents"/>
              <w:bidi w:val="0"/>
              <w:spacing w:before="0" w:after="283"/>
              <w:jc w:val="left"/>
              <w:rPr/>
            </w:pPr>
            <w:r>
              <w:rPr/>
              <w:t>Agent security, identity, interoperability, and consumer-comparable evaluation activity</w:t>
            </w:r>
          </w:p>
        </w:tc>
      </w:tr>
      <w:tr>
        <w:trPr/>
        <w:tc>
          <w:tcPr>
            <w:tcW w:w="6517" w:type="dxa"/>
            <w:tcBorders/>
            <w:vAlign w:val="center"/>
          </w:tcPr>
          <w:p>
            <w:pPr>
              <w:pStyle w:val="TableContents"/>
              <w:bidi w:val="0"/>
              <w:spacing w:before="0" w:after="283"/>
              <w:jc w:val="left"/>
              <w:rPr/>
            </w:pPr>
            <w:hyperlink r:id="rId8">
              <w:r>
                <w:rPr>
                  <w:rStyle w:val="Hyperlink"/>
                </w:rPr>
                <w:t>NIST AI Consortium</w:t>
              </w:r>
            </w:hyperlink>
          </w:p>
        </w:tc>
        <w:tc>
          <w:tcPr>
            <w:tcW w:w="16907" w:type="dxa"/>
            <w:tcBorders/>
            <w:vAlign w:val="center"/>
          </w:tcPr>
          <w:p>
            <w:pPr>
              <w:pStyle w:val="TableContents"/>
              <w:bidi w:val="0"/>
              <w:spacing w:before="0" w:after="283"/>
              <w:jc w:val="left"/>
              <w:rPr/>
            </w:pPr>
            <w:r>
              <w:rPr/>
              <w:t>Measurement, evaluation, implementation evidence, and pre-standardization collaboration</w:t>
            </w:r>
          </w:p>
        </w:tc>
      </w:tr>
      <w:tr>
        <w:trPr/>
        <w:tc>
          <w:tcPr>
            <w:tcW w:w="6517" w:type="dxa"/>
            <w:tcBorders/>
            <w:vAlign w:val="center"/>
          </w:tcPr>
          <w:p>
            <w:pPr>
              <w:pStyle w:val="TableContents"/>
              <w:bidi w:val="0"/>
              <w:spacing w:before="0" w:after="283"/>
              <w:jc w:val="left"/>
              <w:rPr/>
            </w:pPr>
            <w:hyperlink r:id="rId9">
              <w:r>
                <w:rPr>
                  <w:rStyle w:val="Hyperlink"/>
                </w:rPr>
                <w:t>ISO/IEC 17024:2026</w:t>
              </w:r>
            </w:hyperlink>
          </w:p>
        </w:tc>
        <w:tc>
          <w:tcPr>
            <w:tcW w:w="16907" w:type="dxa"/>
            <w:tcBorders/>
            <w:vAlign w:val="center"/>
          </w:tcPr>
          <w:p>
            <w:pPr>
              <w:pStyle w:val="TableContents"/>
              <w:bidi w:val="0"/>
              <w:spacing w:before="0" w:after="283"/>
              <w:jc w:val="left"/>
              <w:rPr/>
            </w:pPr>
            <w:r>
              <w:rPr/>
              <w:t>Adjacent lifecycle prior art for scheme scope, assessment, surveillance, reassessment, suspension, and revocation; not the direct conformity basis because its object is a person</w:t>
            </w:r>
          </w:p>
        </w:tc>
      </w:tr>
      <w:tr>
        <w:trPr/>
        <w:tc>
          <w:tcPr>
            <w:tcW w:w="6517" w:type="dxa"/>
            <w:tcBorders/>
            <w:vAlign w:val="center"/>
          </w:tcPr>
          <w:p>
            <w:pPr>
              <w:pStyle w:val="TableContents"/>
              <w:bidi w:val="0"/>
              <w:spacing w:before="0" w:after="283"/>
              <w:jc w:val="left"/>
              <w:rPr/>
            </w:pPr>
            <w:hyperlink r:id="rId10">
              <w:r>
                <w:rPr>
                  <w:rStyle w:val="Hyperlink"/>
                </w:rPr>
                <w:t>ISO/IEC 17065</w:t>
              </w:r>
            </w:hyperlink>
          </w:p>
        </w:tc>
        <w:tc>
          <w:tcPr>
            <w:tcW w:w="16907" w:type="dxa"/>
            <w:tcBorders/>
            <w:vAlign w:val="center"/>
          </w:tcPr>
          <w:p>
            <w:pPr>
              <w:pStyle w:val="TableContents"/>
              <w:bidi w:val="0"/>
              <w:spacing w:before="0" w:after="283"/>
              <w:jc w:val="left"/>
              <w:rPr/>
            </w:pPr>
            <w:r>
              <w:rPr/>
              <w:t>Product, process, and service certification model more directly applicable to an AI agent operating profile</w:t>
            </w:r>
          </w:p>
        </w:tc>
      </w:tr>
      <w:tr>
        <w:trPr/>
        <w:tc>
          <w:tcPr>
            <w:tcW w:w="6517" w:type="dxa"/>
            <w:tcBorders/>
            <w:vAlign w:val="center"/>
          </w:tcPr>
          <w:p>
            <w:pPr>
              <w:pStyle w:val="TableContents"/>
              <w:bidi w:val="0"/>
              <w:spacing w:before="0" w:after="283"/>
              <w:jc w:val="left"/>
              <w:rPr/>
            </w:pPr>
            <w:hyperlink r:id="rId11">
              <w:r>
                <w:rPr>
                  <w:rStyle w:val="Hyperlink"/>
                </w:rPr>
                <w:t>ISO/IEC 17067:2013</w:t>
              </w:r>
            </w:hyperlink>
          </w:p>
        </w:tc>
        <w:tc>
          <w:tcPr>
            <w:tcW w:w="16907" w:type="dxa"/>
            <w:tcBorders/>
            <w:vAlign w:val="center"/>
          </w:tcPr>
          <w:p>
            <w:pPr>
              <w:pStyle w:val="TableContents"/>
              <w:bidi w:val="0"/>
              <w:spacing w:before="0" w:after="283"/>
              <w:jc w:val="left"/>
              <w:rPr/>
            </w:pPr>
            <w:r>
              <w:rPr/>
              <w:t>Fundamentals and guidance for product, process, and service certification schemes</w:t>
            </w:r>
          </w:p>
        </w:tc>
      </w:tr>
      <w:tr>
        <w:trPr/>
        <w:tc>
          <w:tcPr>
            <w:tcW w:w="6517" w:type="dxa"/>
            <w:tcBorders/>
            <w:vAlign w:val="center"/>
          </w:tcPr>
          <w:p>
            <w:pPr>
              <w:pStyle w:val="TableContents"/>
              <w:bidi w:val="0"/>
              <w:spacing w:before="0" w:after="283"/>
              <w:jc w:val="left"/>
              <w:rPr/>
            </w:pPr>
            <w:hyperlink r:id="rId12">
              <w:r>
                <w:rPr>
                  <w:rStyle w:val="Hyperlink"/>
                </w:rPr>
                <w:t>ISO/IEC 42006:2025</w:t>
              </w:r>
            </w:hyperlink>
          </w:p>
        </w:tc>
        <w:tc>
          <w:tcPr>
            <w:tcW w:w="16907" w:type="dxa"/>
            <w:tcBorders/>
            <w:vAlign w:val="center"/>
          </w:tcPr>
          <w:p>
            <w:pPr>
              <w:pStyle w:val="TableContents"/>
              <w:bidi w:val="0"/>
              <w:spacing w:before="0" w:after="283"/>
              <w:jc w:val="left"/>
              <w:rPr/>
            </w:pPr>
            <w:r>
              <w:rPr/>
              <w:t>Certification-body requirements for AI management systems and a bridge to broader AI product/process/service schemes</w:t>
            </w:r>
          </w:p>
        </w:tc>
      </w:tr>
      <w:tr>
        <w:trPr/>
        <w:tc>
          <w:tcPr>
            <w:tcW w:w="6517" w:type="dxa"/>
            <w:tcBorders/>
            <w:vAlign w:val="center"/>
          </w:tcPr>
          <w:p>
            <w:pPr>
              <w:pStyle w:val="TableContents"/>
              <w:bidi w:val="0"/>
              <w:spacing w:before="0" w:after="283"/>
              <w:jc w:val="left"/>
              <w:rPr/>
            </w:pPr>
            <w:hyperlink r:id="rId13">
              <w:r>
                <w:rPr>
                  <w:rStyle w:val="Hyperlink"/>
                </w:rPr>
                <w:t>ISO/IEC JTC 1/SC 42</w:t>
              </w:r>
            </w:hyperlink>
          </w:p>
        </w:tc>
        <w:tc>
          <w:tcPr>
            <w:tcW w:w="16907" w:type="dxa"/>
            <w:tcBorders/>
            <w:vAlign w:val="center"/>
          </w:tcPr>
          <w:p>
            <w:pPr>
              <w:pStyle w:val="TableContents"/>
              <w:bidi w:val="0"/>
              <w:spacing w:before="0" w:after="283"/>
              <w:jc w:val="left"/>
              <w:rPr/>
            </w:pPr>
            <w:r>
              <w:rPr/>
              <w:t>Horizontal AI committee, including JWG 6 with ISO/CASCO on conformity-assessment schemes for AI systems</w:t>
            </w:r>
          </w:p>
        </w:tc>
      </w:tr>
      <w:tr>
        <w:trPr/>
        <w:tc>
          <w:tcPr>
            <w:tcW w:w="6517" w:type="dxa"/>
            <w:tcBorders/>
            <w:vAlign w:val="center"/>
          </w:tcPr>
          <w:p>
            <w:pPr>
              <w:pStyle w:val="TableContents"/>
              <w:bidi w:val="0"/>
              <w:spacing w:before="0" w:after="283"/>
              <w:jc w:val="left"/>
              <w:rPr/>
            </w:pPr>
            <w:hyperlink r:id="rId14">
              <w:r>
                <w:rPr>
                  <w:rStyle w:val="Hyperlink"/>
                </w:rPr>
                <w:t>ISO/IEC 25059:2023</w:t>
              </w:r>
            </w:hyperlink>
          </w:p>
        </w:tc>
        <w:tc>
          <w:tcPr>
            <w:tcW w:w="16907" w:type="dxa"/>
            <w:tcBorders/>
            <w:vAlign w:val="center"/>
          </w:tcPr>
          <w:p>
            <w:pPr>
              <w:pStyle w:val="TableContents"/>
              <w:bidi w:val="0"/>
              <w:spacing w:before="0" w:after="283"/>
              <w:jc w:val="left"/>
              <w:rPr/>
            </w:pPr>
            <w:r>
              <w:rPr/>
              <w:t>Quality model and common terminology for specifying and evaluating AI-system quality</w:t>
            </w:r>
          </w:p>
        </w:tc>
      </w:tr>
      <w:tr>
        <w:trPr/>
        <w:tc>
          <w:tcPr>
            <w:tcW w:w="6517" w:type="dxa"/>
            <w:tcBorders/>
            <w:vAlign w:val="center"/>
          </w:tcPr>
          <w:p>
            <w:pPr>
              <w:pStyle w:val="TableContents"/>
              <w:bidi w:val="0"/>
              <w:spacing w:before="0" w:after="283"/>
              <w:jc w:val="left"/>
              <w:rPr/>
            </w:pPr>
            <w:hyperlink r:id="rId15">
              <w:r>
                <w:rPr>
                  <w:rStyle w:val="Hyperlink"/>
                </w:rPr>
                <w:t>ISO/IEC 23894:2023</w:t>
              </w:r>
            </w:hyperlink>
          </w:p>
        </w:tc>
        <w:tc>
          <w:tcPr>
            <w:tcW w:w="16907" w:type="dxa"/>
            <w:tcBorders/>
            <w:vAlign w:val="center"/>
          </w:tcPr>
          <w:p>
            <w:pPr>
              <w:pStyle w:val="TableContents"/>
              <w:bidi w:val="0"/>
              <w:spacing w:before="0" w:after="283"/>
              <w:jc w:val="left"/>
              <w:rPr/>
            </w:pPr>
            <w:r>
              <w:rPr/>
              <w:t>AI risk-management integration</w:t>
            </w:r>
          </w:p>
        </w:tc>
      </w:tr>
      <w:tr>
        <w:trPr/>
        <w:tc>
          <w:tcPr>
            <w:tcW w:w="6517" w:type="dxa"/>
            <w:tcBorders/>
            <w:vAlign w:val="center"/>
          </w:tcPr>
          <w:p>
            <w:pPr>
              <w:pStyle w:val="TableContents"/>
              <w:bidi w:val="0"/>
              <w:spacing w:before="0" w:after="283"/>
              <w:jc w:val="left"/>
              <w:rPr/>
            </w:pPr>
            <w:hyperlink r:id="rId16">
              <w:r>
                <w:rPr>
                  <w:rStyle w:val="Hyperlink"/>
                </w:rPr>
                <w:t>ISO/IEC 42005:2025</w:t>
              </w:r>
            </w:hyperlink>
          </w:p>
        </w:tc>
        <w:tc>
          <w:tcPr>
            <w:tcW w:w="16907" w:type="dxa"/>
            <w:tcBorders/>
            <w:vAlign w:val="center"/>
          </w:tcPr>
          <w:p>
            <w:pPr>
              <w:pStyle w:val="TableContents"/>
              <w:bidi w:val="0"/>
              <w:spacing w:before="0" w:after="283"/>
              <w:jc w:val="left"/>
              <w:rPr/>
            </w:pPr>
            <w:r>
              <w:rPr/>
              <w:t>AI system impact assessment used to establish affected stakeholders, foreseeable impacts, prohibited uses, and reassessment triggers</w:t>
            </w:r>
          </w:p>
        </w:tc>
      </w:tr>
      <w:tr>
        <w:trPr/>
        <w:tc>
          <w:tcPr>
            <w:tcW w:w="6517" w:type="dxa"/>
            <w:tcBorders/>
            <w:vAlign w:val="center"/>
          </w:tcPr>
          <w:p>
            <w:pPr>
              <w:pStyle w:val="TableContents"/>
              <w:bidi w:val="0"/>
              <w:spacing w:before="0" w:after="283"/>
              <w:jc w:val="left"/>
              <w:rPr/>
            </w:pPr>
            <w:hyperlink r:id="rId17">
              <w:r>
                <w:rPr>
                  <w:rStyle w:val="Hyperlink"/>
                </w:rPr>
                <w:t>ISO/IEC TS 42119-2:2025</w:t>
              </w:r>
            </w:hyperlink>
          </w:p>
        </w:tc>
        <w:tc>
          <w:tcPr>
            <w:tcW w:w="16907" w:type="dxa"/>
            <w:tcBorders/>
            <w:vAlign w:val="center"/>
          </w:tcPr>
          <w:p>
            <w:pPr>
              <w:pStyle w:val="TableContents"/>
              <w:bidi w:val="0"/>
              <w:spacing w:before="0" w:after="283"/>
              <w:jc w:val="left"/>
              <w:rPr/>
            </w:pPr>
            <w:r>
              <w:rPr/>
              <w:t>Risk-based application of software-testing practices to AI systems</w:t>
            </w:r>
          </w:p>
        </w:tc>
      </w:tr>
      <w:tr>
        <w:trPr/>
        <w:tc>
          <w:tcPr>
            <w:tcW w:w="6517" w:type="dxa"/>
            <w:tcBorders/>
            <w:vAlign w:val="center"/>
          </w:tcPr>
          <w:p>
            <w:pPr>
              <w:pStyle w:val="TableContents"/>
              <w:bidi w:val="0"/>
              <w:spacing w:before="0" w:after="283"/>
              <w:jc w:val="left"/>
              <w:rPr/>
            </w:pPr>
            <w:hyperlink r:id="rId18">
              <w:r>
                <w:rPr>
                  <w:rStyle w:val="Hyperlink"/>
                </w:rPr>
                <w:t>ISO/IEC 42119-3</w:t>
              </w:r>
            </w:hyperlink>
          </w:p>
        </w:tc>
        <w:tc>
          <w:tcPr>
            <w:tcW w:w="16907" w:type="dxa"/>
            <w:tcBorders/>
            <w:vAlign w:val="center"/>
          </w:tcPr>
          <w:p>
            <w:pPr>
              <w:pStyle w:val="TableContents"/>
              <w:bidi w:val="0"/>
              <w:spacing w:before="0" w:after="283"/>
              <w:jc w:val="left"/>
              <w:rPr/>
            </w:pPr>
            <w:r>
              <w:rPr/>
              <w:t>Active verification and validation analysis work augmented by job, operating-profile, surveillance, and revalidation semantics</w:t>
            </w:r>
          </w:p>
        </w:tc>
      </w:tr>
      <w:tr>
        <w:trPr/>
        <w:tc>
          <w:tcPr>
            <w:tcW w:w="6517" w:type="dxa"/>
            <w:tcBorders/>
            <w:vAlign w:val="center"/>
          </w:tcPr>
          <w:p>
            <w:pPr>
              <w:pStyle w:val="TableContents"/>
              <w:bidi w:val="0"/>
              <w:spacing w:before="0" w:after="283"/>
              <w:jc w:val="left"/>
              <w:rPr/>
            </w:pPr>
            <w:hyperlink r:id="rId19">
              <w:r>
                <w:rPr>
                  <w:rStyle w:val="Hyperlink"/>
                </w:rPr>
                <w:t>ISO/IEC 5259-1:2024</w:t>
              </w:r>
            </w:hyperlink>
          </w:p>
        </w:tc>
        <w:tc>
          <w:tcPr>
            <w:tcW w:w="16907" w:type="dxa"/>
            <w:tcBorders/>
            <w:vAlign w:val="center"/>
          </w:tcPr>
          <w:p>
            <w:pPr>
              <w:pStyle w:val="TableContents"/>
              <w:bidi w:val="0"/>
              <w:spacing w:before="0" w:after="283"/>
              <w:jc w:val="left"/>
              <w:rPr/>
            </w:pPr>
            <w:r>
              <w:rPr/>
              <w:t>Data quality concepts and fit-for-purpose framing for analytics and ML</w:t>
            </w:r>
          </w:p>
        </w:tc>
      </w:tr>
      <w:tr>
        <w:trPr/>
        <w:tc>
          <w:tcPr>
            <w:tcW w:w="6517" w:type="dxa"/>
            <w:tcBorders/>
            <w:vAlign w:val="center"/>
          </w:tcPr>
          <w:p>
            <w:pPr>
              <w:pStyle w:val="TableContents"/>
              <w:bidi w:val="0"/>
              <w:spacing w:before="0" w:after="283"/>
              <w:jc w:val="left"/>
              <w:rPr/>
            </w:pPr>
            <w:hyperlink r:id="rId20">
              <w:r>
                <w:rPr>
                  <w:rStyle w:val="Hyperlink"/>
                </w:rPr>
                <w:t>ISO/IEC 5259-2:2024</w:t>
              </w:r>
            </w:hyperlink>
          </w:p>
        </w:tc>
        <w:tc>
          <w:tcPr>
            <w:tcW w:w="16907" w:type="dxa"/>
            <w:tcBorders/>
            <w:vAlign w:val="center"/>
          </w:tcPr>
          <w:p>
            <w:pPr>
              <w:pStyle w:val="TableContents"/>
              <w:bidi w:val="0"/>
              <w:spacing w:before="0" w:after="283"/>
              <w:jc w:val="left"/>
              <w:rPr/>
            </w:pPr>
            <w:r>
              <w:rPr/>
              <w:t>Measurable data-quality characteristics</w:t>
            </w:r>
          </w:p>
        </w:tc>
      </w:tr>
      <w:tr>
        <w:trPr/>
        <w:tc>
          <w:tcPr>
            <w:tcW w:w="6517" w:type="dxa"/>
            <w:tcBorders/>
            <w:vAlign w:val="center"/>
          </w:tcPr>
          <w:p>
            <w:pPr>
              <w:pStyle w:val="TableContents"/>
              <w:bidi w:val="0"/>
              <w:spacing w:before="0" w:after="283"/>
              <w:jc w:val="left"/>
              <w:rPr/>
            </w:pPr>
            <w:hyperlink r:id="rId21">
              <w:r>
                <w:rPr>
                  <w:rStyle w:val="Hyperlink"/>
                </w:rPr>
                <w:t>ISO/IEC 5259-3:2024</w:t>
              </w:r>
            </w:hyperlink>
          </w:p>
        </w:tc>
        <w:tc>
          <w:tcPr>
            <w:tcW w:w="16907" w:type="dxa"/>
            <w:tcBorders/>
            <w:vAlign w:val="center"/>
          </w:tcPr>
          <w:p>
            <w:pPr>
              <w:pStyle w:val="TableContents"/>
              <w:bidi w:val="0"/>
              <w:spacing w:before="0" w:after="283"/>
              <w:jc w:val="left"/>
              <w:rPr/>
            </w:pPr>
            <w:r>
              <w:rPr/>
              <w:t>Data-quality lifecycle management requirements and guidance</w:t>
            </w:r>
          </w:p>
        </w:tc>
      </w:tr>
      <w:tr>
        <w:trPr/>
        <w:tc>
          <w:tcPr>
            <w:tcW w:w="6517" w:type="dxa"/>
            <w:tcBorders/>
            <w:vAlign w:val="center"/>
          </w:tcPr>
          <w:p>
            <w:pPr>
              <w:pStyle w:val="TableContents"/>
              <w:bidi w:val="0"/>
              <w:spacing w:before="0" w:after="283"/>
              <w:jc w:val="left"/>
              <w:rPr/>
            </w:pPr>
            <w:hyperlink r:id="rId22">
              <w:r>
                <w:rPr>
                  <w:rStyle w:val="Hyperlink"/>
                </w:rPr>
                <w:t>ISO/IEC 5259-5:2025</w:t>
              </w:r>
            </w:hyperlink>
          </w:p>
        </w:tc>
        <w:tc>
          <w:tcPr>
            <w:tcW w:w="16907" w:type="dxa"/>
            <w:tcBorders/>
            <w:vAlign w:val="center"/>
          </w:tcPr>
          <w:p>
            <w:pPr>
              <w:pStyle w:val="TableContents"/>
              <w:bidi w:val="0"/>
              <w:spacing w:before="0" w:after="283"/>
              <w:jc w:val="left"/>
              <w:rPr/>
            </w:pPr>
            <w:r>
              <w:rPr/>
              <w:t>Data-quality governance and accountable stewardship</w:t>
            </w:r>
          </w:p>
        </w:tc>
      </w:tr>
      <w:tr>
        <w:trPr/>
        <w:tc>
          <w:tcPr>
            <w:tcW w:w="6517" w:type="dxa"/>
            <w:tcBorders/>
            <w:vAlign w:val="center"/>
          </w:tcPr>
          <w:p>
            <w:pPr>
              <w:pStyle w:val="TableContents"/>
              <w:bidi w:val="0"/>
              <w:spacing w:before="0" w:after="283"/>
              <w:jc w:val="left"/>
              <w:rPr/>
            </w:pPr>
            <w:hyperlink r:id="rId23">
              <w:r>
                <w:rPr>
                  <w:rStyle w:val="Hyperlink"/>
                </w:rPr>
                <w:t>W3C Verifiable Credentials Data Model 2.0</w:t>
              </w:r>
            </w:hyperlink>
          </w:p>
        </w:tc>
        <w:tc>
          <w:tcPr>
            <w:tcW w:w="16907" w:type="dxa"/>
            <w:tcBorders/>
            <w:vAlign w:val="center"/>
          </w:tcPr>
          <w:p>
            <w:pPr>
              <w:pStyle w:val="TableContents"/>
              <w:bidi w:val="0"/>
              <w:spacing w:before="0" w:after="283"/>
              <w:jc w:val="left"/>
              <w:rPr/>
            </w:pPr>
            <w:r>
              <w:rPr/>
              <w:t>Issuer-holder-verifier claim model, schemas, evidence, validity, and status</w:t>
            </w:r>
          </w:p>
        </w:tc>
      </w:tr>
      <w:tr>
        <w:trPr/>
        <w:tc>
          <w:tcPr>
            <w:tcW w:w="6517" w:type="dxa"/>
            <w:tcBorders/>
            <w:vAlign w:val="center"/>
          </w:tcPr>
          <w:p>
            <w:pPr>
              <w:pStyle w:val="TableContents"/>
              <w:bidi w:val="0"/>
              <w:spacing w:before="0" w:after="283"/>
              <w:jc w:val="left"/>
              <w:rPr/>
            </w:pPr>
            <w:hyperlink r:id="rId24">
              <w:r>
                <w:rPr>
                  <w:rStyle w:val="Hyperlink"/>
                </w:rPr>
                <w:t>1EdTech Open Badges 3.0</w:t>
              </w:r>
            </w:hyperlink>
          </w:p>
        </w:tc>
        <w:tc>
          <w:tcPr>
            <w:tcW w:w="16907" w:type="dxa"/>
            <w:tcBorders/>
            <w:vAlign w:val="center"/>
          </w:tcPr>
          <w:p>
            <w:pPr>
              <w:pStyle w:val="TableContents"/>
              <w:bidi w:val="0"/>
              <w:spacing w:before="0" w:after="283"/>
              <w:jc w:val="left"/>
              <w:rPr/>
            </w:pPr>
            <w:r>
              <w:rPr/>
              <w:t>Achievement claims with issuer, evidence, results, issue date, expiry, and portable verification</w:t>
            </w:r>
          </w:p>
        </w:tc>
      </w:tr>
      <w:tr>
        <w:trPr/>
        <w:tc>
          <w:tcPr>
            <w:tcW w:w="6517" w:type="dxa"/>
            <w:tcBorders/>
            <w:vAlign w:val="center"/>
          </w:tcPr>
          <w:p>
            <w:pPr>
              <w:pStyle w:val="TableContents"/>
              <w:bidi w:val="0"/>
              <w:spacing w:before="0" w:after="283"/>
              <w:jc w:val="left"/>
              <w:rPr/>
            </w:pPr>
            <w:hyperlink r:id="rId25">
              <w:r>
                <w:rPr>
                  <w:rStyle w:val="Hyperlink"/>
                </w:rPr>
                <w:t>WikiSkill</w:t>
              </w:r>
            </w:hyperlink>
          </w:p>
        </w:tc>
        <w:tc>
          <w:tcPr>
            <w:tcW w:w="16907" w:type="dxa"/>
            <w:tcBorders/>
            <w:vAlign w:val="center"/>
          </w:tcPr>
          <w:p>
            <w:pPr>
              <w:pStyle w:val="TableContents"/>
              <w:bidi w:val="0"/>
              <w:spacing w:before="0" w:after="283"/>
              <w:jc w:val="left"/>
              <w:rPr/>
            </w:pPr>
            <w:r>
              <w:rPr/>
              <w:t>Separation of immutable experience, curated knowledge, executable skills, validation/rollback, and evidence that skill transfer can regress on another model</w:t>
            </w:r>
          </w:p>
        </w:tc>
      </w:tr>
      <w:tr>
        <w:trPr/>
        <w:tc>
          <w:tcPr>
            <w:tcW w:w="6517" w:type="dxa"/>
            <w:tcBorders/>
            <w:vAlign w:val="center"/>
          </w:tcPr>
          <w:p>
            <w:pPr>
              <w:pStyle w:val="TableContents"/>
              <w:bidi w:val="0"/>
              <w:spacing w:before="0" w:after="283"/>
              <w:jc w:val="left"/>
              <w:rPr/>
            </w:pPr>
            <w:hyperlink r:id="rId26">
              <w:r>
                <w:rPr>
                  <w:rStyle w:val="Hyperlink"/>
                </w:rPr>
                <w:t>Automated Researchers Can Reliably Mitigate Alignment Failures</w:t>
              </w:r>
            </w:hyperlink>
          </w:p>
        </w:tc>
        <w:tc>
          <w:tcPr>
            <w:tcW w:w="16907" w:type="dxa"/>
            <w:tcBorders/>
            <w:vAlign w:val="center"/>
          </w:tcPr>
          <w:p>
            <w:pPr>
              <w:pStyle w:val="TableContents"/>
              <w:bidi w:val="0"/>
              <w:spacing w:before="0" w:after="283"/>
              <w:jc w:val="left"/>
              <w:rPr/>
            </w:pPr>
            <w:r>
              <w:rPr/>
              <w:t>Parallel research, isolated held-out evaluation, capability preservation, and monitored evaluation-gaming evidence</w:t>
            </w:r>
          </w:p>
        </w:tc>
      </w:tr>
      <w:tr>
        <w:trPr/>
        <w:tc>
          <w:tcPr>
            <w:tcW w:w="6517" w:type="dxa"/>
            <w:tcBorders/>
            <w:vAlign w:val="center"/>
          </w:tcPr>
          <w:p>
            <w:pPr>
              <w:pStyle w:val="TableContents"/>
              <w:bidi w:val="0"/>
              <w:spacing w:before="0" w:after="283"/>
              <w:jc w:val="left"/>
              <w:rPr/>
            </w:pPr>
            <w:hyperlink r:id="rId27">
              <w:r>
                <w:rPr>
                  <w:rStyle w:val="Hyperlink"/>
                </w:rPr>
                <w:t>Automated Weak-to-Strong Researcher</w:t>
              </w:r>
            </w:hyperlink>
          </w:p>
        </w:tc>
        <w:tc>
          <w:tcPr>
            <w:tcW w:w="16907" w:type="dxa"/>
            <w:tcBorders/>
            <w:vAlign w:val="center"/>
          </w:tcPr>
          <w:p>
            <w:pPr>
              <w:pStyle w:val="TableContents"/>
              <w:bidi w:val="0"/>
              <w:spacing w:before="0" w:after="283"/>
              <w:jc w:val="left"/>
              <w:rPr/>
            </w:pPr>
            <w:r>
              <w:rPr/>
              <w:t>Flexible research inside a fixed control envelope and concrete reward-hacking modes involving seeds, evaluator feedback, and label leakage</w:t>
            </w:r>
          </w:p>
        </w:tc>
      </w:tr>
      <w:tr>
        <w:trPr/>
        <w:tc>
          <w:tcPr>
            <w:tcW w:w="6517" w:type="dxa"/>
            <w:tcBorders/>
            <w:vAlign w:val="center"/>
          </w:tcPr>
          <w:p>
            <w:pPr>
              <w:pStyle w:val="TableContents"/>
              <w:bidi w:val="0"/>
              <w:spacing w:before="0" w:after="283"/>
              <w:jc w:val="left"/>
              <w:rPr/>
            </w:pPr>
            <w:hyperlink r:id="rId28">
              <w:r>
                <w:rPr>
                  <w:rStyle w:val="Hyperlink"/>
                </w:rPr>
                <w:t>O*NET Content Model</w:t>
              </w:r>
            </w:hyperlink>
          </w:p>
        </w:tc>
        <w:tc>
          <w:tcPr>
            <w:tcW w:w="16907" w:type="dxa"/>
            <w:tcBorders/>
            <w:vAlign w:val="center"/>
          </w:tcPr>
          <w:p>
            <w:pPr>
              <w:pStyle w:val="TableContents"/>
              <w:bidi w:val="0"/>
              <w:spacing w:before="0" w:after="283"/>
              <w:jc w:val="left"/>
              <w:rPr/>
            </w:pPr>
            <w:r>
              <w:rPr/>
              <w:t>Tasks, knowledge, skills, abilities, work activities, and work context as job descriptors</w:t>
            </w:r>
          </w:p>
        </w:tc>
      </w:tr>
      <w:tr>
        <w:trPr/>
        <w:tc>
          <w:tcPr>
            <w:tcW w:w="6517" w:type="dxa"/>
            <w:tcBorders/>
            <w:vAlign w:val="center"/>
          </w:tcPr>
          <w:p>
            <w:pPr>
              <w:pStyle w:val="TableContents"/>
              <w:bidi w:val="0"/>
              <w:spacing w:before="0" w:after="283"/>
              <w:jc w:val="left"/>
              <w:rPr/>
            </w:pPr>
            <w:hyperlink r:id="rId29">
              <w:r>
                <w:rPr>
                  <w:rStyle w:val="Hyperlink"/>
                </w:rPr>
                <w:t>ESCO</w:t>
              </w:r>
            </w:hyperlink>
          </w:p>
        </w:tc>
        <w:tc>
          <w:tcPr>
            <w:tcW w:w="16907" w:type="dxa"/>
            <w:tcBorders/>
            <w:vAlign w:val="center"/>
          </w:tcPr>
          <w:p>
            <w:pPr>
              <w:pStyle w:val="TableContents"/>
              <w:bidi w:val="0"/>
              <w:spacing w:before="0" w:after="283"/>
              <w:jc w:val="left"/>
              <w:rPr/>
            </w:pPr>
            <w:r>
              <w:rPr/>
              <w:t>Versioned relationships among occupations, skills, competences, and qualifications</w:t>
            </w:r>
          </w:p>
        </w:tc>
      </w:tr>
    </w:tbl>
    <w:p>
      <w:pPr>
        <w:pStyle w:val="Heading3"/>
        <w:bidi w:val="0"/>
        <w:jc w:val="left"/>
        <w:rPr/>
      </w:pPr>
      <w:r>
        <w:rPr/>
        <w:t>3.3 Reuse rule</w:t>
      </w:r>
    </w:p>
    <w:p>
      <w:pPr>
        <w:pStyle w:val="BodyText"/>
        <w:bidi w:val="0"/>
        <w:jc w:val="left"/>
        <w:rPr/>
      </w:pPr>
      <w:r>
        <w:rPr>
          <w:rStyle w:val="SourceText"/>
        </w:rPr>
        <w:t>TAK-JSI</w:t>
      </w:r>
      <w:r>
        <w:rPr/>
        <w:t xml:space="preserve"> profiles adjacent standards instead of replacing them:</w:t>
      </w:r>
    </w:p>
    <w:p>
      <w:pPr>
        <w:pStyle w:val="BodyText"/>
        <w:numPr>
          <w:ilvl w:val="0"/>
          <w:numId w:val="6"/>
        </w:numPr>
        <w:tabs>
          <w:tab w:val="clear" w:pos="1134"/>
          <w:tab w:val="left" w:pos="709" w:leader="none"/>
        </w:tabs>
        <w:bidi w:val="0"/>
        <w:spacing w:before="0" w:after="0"/>
        <w:ind w:hanging="283" w:left="709"/>
        <w:jc w:val="left"/>
        <w:rPr/>
      </w:pPr>
      <w:r>
        <w:rPr/>
        <w:t xml:space="preserve">occupation taxonomies </w:t>
      </w:r>
      <w:r>
        <w:rPr>
          <w:rStyle w:val="SourceText"/>
        </w:rPr>
        <w:t>MAY</w:t>
      </w:r>
      <w:r>
        <w:rPr/>
        <w:t xml:space="preserve"> identify jobs and skill concepts </w:t>
      </w:r>
    </w:p>
    <w:p>
      <w:pPr>
        <w:pStyle w:val="BodyText"/>
        <w:numPr>
          <w:ilvl w:val="0"/>
          <w:numId w:val="6"/>
        </w:numPr>
        <w:tabs>
          <w:tab w:val="clear" w:pos="1134"/>
          <w:tab w:val="left" w:pos="709" w:leader="none"/>
        </w:tabs>
        <w:bidi w:val="0"/>
        <w:spacing w:before="0" w:after="0"/>
        <w:ind w:hanging="283" w:left="709"/>
        <w:jc w:val="left"/>
        <w:rPr/>
      </w:pPr>
      <w:r>
        <w:rPr>
          <w:rStyle w:val="SourceText"/>
        </w:rPr>
        <w:t>WSID</w:t>
      </w:r>
      <w:r>
        <w:rPr/>
        <w:t xml:space="preserve"> or an equivalent profession corpus </w:t>
      </w:r>
      <w:r>
        <w:rPr>
          <w:rStyle w:val="SourceText"/>
        </w:rPr>
        <w:t>MAY</w:t>
      </w:r>
      <w:r>
        <w:rPr/>
        <w:t xml:space="preserve"> own job craft and decision doctrine </w:t>
      </w:r>
    </w:p>
    <w:p>
      <w:pPr>
        <w:pStyle w:val="BodyText"/>
        <w:numPr>
          <w:ilvl w:val="0"/>
          <w:numId w:val="6"/>
        </w:numPr>
        <w:tabs>
          <w:tab w:val="clear" w:pos="1134"/>
          <w:tab w:val="left" w:pos="709" w:leader="none"/>
        </w:tabs>
        <w:bidi w:val="0"/>
        <w:spacing w:before="0" w:after="0"/>
        <w:ind w:hanging="283" w:left="709"/>
        <w:jc w:val="left"/>
        <w:rPr/>
      </w:pPr>
      <w:r>
        <w:rPr/>
        <w:t xml:space="preserve">verifiable credentials or open badges </w:t>
      </w:r>
      <w:r>
        <w:rPr>
          <w:rStyle w:val="SourceText"/>
        </w:rPr>
        <w:t>MAY</w:t>
      </w:r>
      <w:r>
        <w:rPr/>
        <w:t xml:space="preserve"> carry qualification assertions </w:t>
      </w:r>
    </w:p>
    <w:p>
      <w:pPr>
        <w:pStyle w:val="BodyText"/>
        <w:numPr>
          <w:ilvl w:val="0"/>
          <w:numId w:val="6"/>
        </w:numPr>
        <w:tabs>
          <w:tab w:val="clear" w:pos="1134"/>
          <w:tab w:val="left" w:pos="709" w:leader="none"/>
        </w:tabs>
        <w:bidi w:val="0"/>
        <w:spacing w:before="0" w:after="0"/>
        <w:ind w:hanging="283" w:left="709"/>
        <w:jc w:val="left"/>
        <w:rPr/>
      </w:pPr>
      <w:r>
        <w:rPr>
          <w:rStyle w:val="SourceText"/>
        </w:rPr>
        <w:t>GAID</w:t>
      </w:r>
      <w:r>
        <w:rPr/>
        <w:t xml:space="preserve"> </w:t>
      </w:r>
      <w:r>
        <w:rPr>
          <w:rStyle w:val="SourceText"/>
        </w:rPr>
        <w:t>MUST</w:t>
      </w:r>
      <w:r>
        <w:rPr/>
        <w:t xml:space="preserve"> bind the assertion to the agent subject and operating profile </w:t>
      </w:r>
    </w:p>
    <w:p>
      <w:pPr>
        <w:pStyle w:val="BodyText"/>
        <w:numPr>
          <w:ilvl w:val="0"/>
          <w:numId w:val="6"/>
        </w:numPr>
        <w:tabs>
          <w:tab w:val="clear" w:pos="1134"/>
          <w:tab w:val="left" w:pos="709" w:leader="none"/>
        </w:tabs>
        <w:bidi w:val="0"/>
        <w:ind w:hanging="283" w:left="709"/>
        <w:jc w:val="left"/>
        <w:rPr/>
      </w:pPr>
      <w:r>
        <w:rPr>
          <w:rStyle w:val="SourceText"/>
        </w:rPr>
        <w:t>TAK</w:t>
      </w:r>
      <w:r>
        <w:rPr/>
        <w:t xml:space="preserve"> </w:t>
      </w:r>
      <w:r>
        <w:rPr>
          <w:rStyle w:val="SourceText"/>
        </w:rPr>
        <w:t>MUST</w:t>
      </w:r>
      <w:r>
        <w:rPr/>
        <w:t xml:space="preserve"> enforce the resulting operational ceiling </w:t>
      </w:r>
    </w:p>
    <w:p>
      <w:pPr>
        <w:pStyle w:val="Heading3"/>
        <w:bidi w:val="0"/>
        <w:jc w:val="left"/>
        <w:rPr/>
      </w:pPr>
      <w:r>
        <w:rPr/>
        <w:t>3.4 Conformity-Assessment Boundary</w:t>
      </w:r>
    </w:p>
    <w:p>
      <w:pPr>
        <w:pStyle w:val="BodyText"/>
        <w:bidi w:val="0"/>
        <w:jc w:val="left"/>
        <w:rPr/>
      </w:pPr>
      <w:r>
        <w:rPr/>
        <w:t xml:space="preserve">The object of a </w:t>
      </w:r>
      <w:r>
        <w:rPr>
          <w:rStyle w:val="SourceText"/>
        </w:rPr>
        <w:t>TAK-JSI</w:t>
      </w:r>
      <w:r>
        <w:rPr/>
        <w:t xml:space="preserve"> qualification is a versioned AI agent operating profile in a declared job and deployment context. It is not a person, a model family in the abstract, or an organization management system.</w:t>
      </w:r>
    </w:p>
    <w:p>
      <w:pPr>
        <w:pStyle w:val="BodyText"/>
        <w:bidi w:val="0"/>
        <w:jc w:val="left"/>
        <w:rPr/>
      </w:pPr>
      <w:r>
        <w:rPr/>
        <w:t>Accordingly:</w:t>
      </w:r>
    </w:p>
    <w:p>
      <w:pPr>
        <w:pStyle w:val="BodyText"/>
        <w:numPr>
          <w:ilvl w:val="0"/>
          <w:numId w:val="7"/>
        </w:numPr>
        <w:tabs>
          <w:tab w:val="clear" w:pos="1134"/>
          <w:tab w:val="left" w:pos="709" w:leader="none"/>
        </w:tabs>
        <w:bidi w:val="0"/>
        <w:spacing w:before="0" w:after="0"/>
        <w:ind w:hanging="283" w:left="709"/>
        <w:jc w:val="left"/>
        <w:rPr/>
      </w:pPr>
      <w:r>
        <w:rPr/>
        <w:t xml:space="preserve">ISO/IEC 17024 is used only as adjacent lifecycle prior art and </w:t>
      </w:r>
      <w:r>
        <w:rPr>
          <w:rStyle w:val="SourceText"/>
        </w:rPr>
        <w:t>MUST NOT</w:t>
      </w:r>
      <w:r>
        <w:rPr/>
        <w:t xml:space="preserve"> be cited as the direct certification basis for an AI agent </w:t>
      </w:r>
    </w:p>
    <w:p>
      <w:pPr>
        <w:pStyle w:val="BodyText"/>
        <w:numPr>
          <w:ilvl w:val="0"/>
          <w:numId w:val="7"/>
        </w:numPr>
        <w:tabs>
          <w:tab w:val="clear" w:pos="1134"/>
          <w:tab w:val="left" w:pos="709" w:leader="none"/>
        </w:tabs>
        <w:bidi w:val="0"/>
        <w:spacing w:before="0" w:after="0"/>
        <w:ind w:hanging="283" w:left="709"/>
        <w:jc w:val="left"/>
        <w:rPr/>
      </w:pPr>
      <w:r>
        <w:rPr/>
        <w:t xml:space="preserve">ISO/IEC 17065 and ISO/IEC 17067 provide the closer product, process, and service scheme model </w:t>
      </w:r>
    </w:p>
    <w:p>
      <w:pPr>
        <w:pStyle w:val="BodyText"/>
        <w:numPr>
          <w:ilvl w:val="0"/>
          <w:numId w:val="7"/>
        </w:numPr>
        <w:tabs>
          <w:tab w:val="clear" w:pos="1134"/>
          <w:tab w:val="left" w:pos="709" w:leader="none"/>
        </w:tabs>
        <w:bidi w:val="0"/>
        <w:spacing w:before="0" w:after="0"/>
        <w:ind w:hanging="283" w:left="709"/>
        <w:jc w:val="left"/>
        <w:rPr/>
      </w:pPr>
      <w:r>
        <w:rPr/>
        <w:t xml:space="preserve">ISO/IEC 42006 certification of an organization's AI management system </w:t>
      </w:r>
      <w:r>
        <w:rPr>
          <w:rStyle w:val="SourceText"/>
        </w:rPr>
        <w:t>MUST NOT</w:t>
      </w:r>
      <w:r>
        <w:rPr/>
        <w:t xml:space="preserve"> be represented as qualification of every agent operated by that organization </w:t>
      </w:r>
    </w:p>
    <w:p>
      <w:pPr>
        <w:pStyle w:val="BodyText"/>
        <w:numPr>
          <w:ilvl w:val="0"/>
          <w:numId w:val="7"/>
        </w:numPr>
        <w:tabs>
          <w:tab w:val="clear" w:pos="1134"/>
          <w:tab w:val="left" w:pos="709" w:leader="none"/>
        </w:tabs>
        <w:bidi w:val="0"/>
        <w:spacing w:before="0" w:after="0"/>
        <w:ind w:hanging="283" w:left="709"/>
        <w:jc w:val="left"/>
        <w:rPr/>
      </w:pPr>
      <w:r>
        <w:rPr/>
        <w:t xml:space="preserve">ISO/IEC TS 42119-2 and ISO/IEC 42119-3 testing or validation evidence </w:t>
      </w:r>
      <w:r>
        <w:rPr>
          <w:rStyle w:val="SourceText"/>
        </w:rPr>
        <w:t>MAY</w:t>
      </w:r>
      <w:r>
        <w:rPr/>
        <w:t xml:space="preserve"> support a qualification, but passing a test campaign does not create a job qualification unless the declared scheme, subject, scope, decision rule, and continuing-validity requirements are met </w:t>
      </w:r>
    </w:p>
    <w:p>
      <w:pPr>
        <w:pStyle w:val="BodyText"/>
        <w:numPr>
          <w:ilvl w:val="0"/>
          <w:numId w:val="7"/>
        </w:numPr>
        <w:tabs>
          <w:tab w:val="clear" w:pos="1134"/>
          <w:tab w:val="left" w:pos="709" w:leader="none"/>
        </w:tabs>
        <w:bidi w:val="0"/>
        <w:spacing w:before="0" w:after="0"/>
        <w:ind w:hanging="283" w:left="709"/>
        <w:jc w:val="left"/>
        <w:rPr/>
      </w:pPr>
      <w:r>
        <w:rPr/>
        <w:t xml:space="preserve">accredited certification claims </w:t>
      </w:r>
      <w:r>
        <w:rPr>
          <w:rStyle w:val="SourceText"/>
        </w:rPr>
        <w:t>MUST</w:t>
      </w:r>
      <w:r>
        <w:rPr/>
        <w:t xml:space="preserve"> identify the applicable scheme, certification body, accreditation basis, scope, status, and validity period </w:t>
      </w:r>
    </w:p>
    <w:p>
      <w:pPr>
        <w:pStyle w:val="BodyText"/>
        <w:numPr>
          <w:ilvl w:val="0"/>
          <w:numId w:val="7"/>
        </w:numPr>
        <w:tabs>
          <w:tab w:val="clear" w:pos="1134"/>
          <w:tab w:val="left" w:pos="709" w:leader="none"/>
        </w:tabs>
        <w:bidi w:val="0"/>
        <w:ind w:hanging="283" w:left="709"/>
        <w:jc w:val="left"/>
        <w:rPr/>
      </w:pPr>
      <w:r>
        <w:rPr/>
        <w:t xml:space="preserve">organization-attested or independently assessed qualifications </w:t>
      </w:r>
      <w:r>
        <w:rPr>
          <w:rStyle w:val="SourceText"/>
        </w:rPr>
        <w:t>MUST NOT</w:t>
      </w:r>
      <w:r>
        <w:rPr/>
        <w:t xml:space="preserve"> be labeled accredited certification </w:t>
      </w:r>
    </w:p>
    <w:p>
      <w:pPr>
        <w:pStyle w:val="Heading3"/>
        <w:bidi w:val="0"/>
        <w:jc w:val="left"/>
        <w:rPr/>
      </w:pPr>
      <w:r>
        <w:rPr/>
        <w:t>3.5 Specific Augmentation of AI Testing</w:t>
      </w:r>
    </w:p>
    <w:p>
      <w:pPr>
        <w:pStyle w:val="BodyText"/>
        <w:bidi w:val="0"/>
        <w:jc w:val="left"/>
        <w:rPr/>
      </w:pPr>
      <w:r>
        <w:rPr>
          <w:rStyle w:val="SourceText"/>
        </w:rPr>
        <w:t>TAK-JSI</w:t>
      </w:r>
      <w:r>
        <w:rPr/>
        <w:t xml:space="preserve"> augments general AI testing and validation by requiring:</w:t>
      </w:r>
    </w:p>
    <w:p>
      <w:pPr>
        <w:pStyle w:val="BodyText"/>
        <w:numPr>
          <w:ilvl w:val="0"/>
          <w:numId w:val="8"/>
        </w:numPr>
        <w:tabs>
          <w:tab w:val="clear" w:pos="1134"/>
          <w:tab w:val="left" w:pos="709" w:leader="none"/>
        </w:tabs>
        <w:bidi w:val="0"/>
        <w:spacing w:before="0" w:after="0"/>
        <w:ind w:hanging="283" w:left="709"/>
        <w:jc w:val="left"/>
        <w:rPr/>
      </w:pPr>
      <w:r>
        <w:rPr/>
        <w:t xml:space="preserve">the qualification subject to include the complete operating-profile fingerprint </w:t>
      </w:r>
    </w:p>
    <w:p>
      <w:pPr>
        <w:pStyle w:val="BodyText"/>
        <w:numPr>
          <w:ilvl w:val="0"/>
          <w:numId w:val="8"/>
        </w:numPr>
        <w:tabs>
          <w:tab w:val="clear" w:pos="1134"/>
          <w:tab w:val="left" w:pos="709" w:leader="none"/>
        </w:tabs>
        <w:bidi w:val="0"/>
        <w:spacing w:before="0" w:after="0"/>
        <w:ind w:hanging="283" w:left="709"/>
        <w:jc w:val="left"/>
        <w:rPr/>
      </w:pPr>
      <w:r>
        <w:rPr/>
        <w:t xml:space="preserve">a versioned job and activity profile rather than a generic capability category </w:t>
      </w:r>
    </w:p>
    <w:p>
      <w:pPr>
        <w:pStyle w:val="BodyText"/>
        <w:numPr>
          <w:ilvl w:val="0"/>
          <w:numId w:val="8"/>
        </w:numPr>
        <w:tabs>
          <w:tab w:val="clear" w:pos="1134"/>
          <w:tab w:val="left" w:pos="709" w:leader="none"/>
        </w:tabs>
        <w:bidi w:val="0"/>
        <w:spacing w:before="0" w:after="0"/>
        <w:ind w:hanging="283" w:left="709"/>
        <w:jc w:val="left"/>
        <w:rPr/>
      </w:pPr>
      <w:r>
        <w:rPr/>
        <w:t xml:space="preserve">representative tools, retrieval sources, memory behavior, data classes, provider routes, authority limits, and human-oversight conditions </w:t>
      </w:r>
    </w:p>
    <w:p>
      <w:pPr>
        <w:pStyle w:val="BodyText"/>
        <w:numPr>
          <w:ilvl w:val="0"/>
          <w:numId w:val="8"/>
        </w:numPr>
        <w:tabs>
          <w:tab w:val="clear" w:pos="1134"/>
          <w:tab w:val="left" w:pos="709" w:leader="none"/>
        </w:tabs>
        <w:bidi w:val="0"/>
        <w:spacing w:before="0" w:after="0"/>
        <w:ind w:hanging="283" w:left="709"/>
        <w:jc w:val="left"/>
        <w:rPr/>
      </w:pPr>
      <w:r>
        <w:rPr/>
        <w:t xml:space="preserve">explicit prohibited uses and foreseeable misuse cases </w:t>
      </w:r>
    </w:p>
    <w:p>
      <w:pPr>
        <w:pStyle w:val="BodyText"/>
        <w:numPr>
          <w:ilvl w:val="0"/>
          <w:numId w:val="8"/>
        </w:numPr>
        <w:tabs>
          <w:tab w:val="clear" w:pos="1134"/>
          <w:tab w:val="left" w:pos="709" w:leader="none"/>
        </w:tabs>
        <w:bidi w:val="0"/>
        <w:spacing w:before="0" w:after="0"/>
        <w:ind w:hanging="283" w:left="709"/>
        <w:jc w:val="left"/>
        <w:rPr/>
      </w:pPr>
      <w:r>
        <w:rPr/>
        <w:t xml:space="preserve">evidence thresholds tied to job outcomes and harms </w:t>
      </w:r>
    </w:p>
    <w:p>
      <w:pPr>
        <w:pStyle w:val="BodyText"/>
        <w:numPr>
          <w:ilvl w:val="0"/>
          <w:numId w:val="8"/>
        </w:numPr>
        <w:tabs>
          <w:tab w:val="clear" w:pos="1134"/>
          <w:tab w:val="left" w:pos="709" w:leader="none"/>
        </w:tabs>
        <w:bidi w:val="0"/>
        <w:spacing w:before="0" w:after="0"/>
        <w:ind w:hanging="283" w:left="709"/>
        <w:jc w:val="left"/>
        <w:rPr/>
      </w:pPr>
      <w:r>
        <w:rPr/>
        <w:t xml:space="preserve">validity, surveillance, material-change, restriction, suspension, revocation, and revalidation rules </w:t>
      </w:r>
    </w:p>
    <w:p>
      <w:pPr>
        <w:pStyle w:val="BodyText"/>
        <w:numPr>
          <w:ilvl w:val="0"/>
          <w:numId w:val="8"/>
        </w:numPr>
        <w:tabs>
          <w:tab w:val="clear" w:pos="1134"/>
          <w:tab w:val="left" w:pos="709" w:leader="none"/>
        </w:tabs>
        <w:bidi w:val="0"/>
        <w:ind w:hanging="283" w:left="709"/>
        <w:jc w:val="left"/>
        <w:rPr/>
      </w:pPr>
      <w:r>
        <w:rPr/>
        <w:t xml:space="preserve">runtime linkage through </w:t>
      </w:r>
      <w:r>
        <w:rPr>
          <w:rStyle w:val="SourceText"/>
        </w:rPr>
        <w:t>TAK</w:t>
      </w:r>
      <w:r>
        <w:rPr/>
        <w:t xml:space="preserve"> and portable status disclosure through </w:t>
      </w:r>
      <w:r>
        <w:rPr>
          <w:rStyle w:val="SourceText"/>
        </w:rPr>
        <w:t>GAID</w:t>
      </w:r>
      <w:r>
        <w:rPr/>
        <w:t xml:space="preserve"> </w:t>
      </w:r>
    </w:p>
    <w:p>
      <w:pPr>
        <w:pStyle w:val="Heading2"/>
        <w:bidi w:val="0"/>
        <w:jc w:val="left"/>
        <w:rPr/>
      </w:pPr>
      <w:r>
        <w:rPr/>
        <w:t>4. Terms and Definitions</w:t>
      </w:r>
    </w:p>
    <w:tbl>
      <w:tblPr>
        <w:tblW w:w="18393" w:type="dxa"/>
        <w:jc w:val="left"/>
        <w:tblInd w:w="0" w:type="dxa"/>
        <w:tblLayout w:type="fixed"/>
        <w:tblCellMar>
          <w:top w:w="28" w:type="dxa"/>
          <w:left w:w="28" w:type="dxa"/>
          <w:bottom w:w="28" w:type="dxa"/>
          <w:right w:w="28" w:type="dxa"/>
        </w:tblCellMar>
      </w:tblPr>
      <w:tblGrid>
        <w:gridCol w:w="3721"/>
        <w:gridCol w:w="14672"/>
      </w:tblGrid>
      <w:tr>
        <w:trPr>
          <w:tblHeader w:val="true"/>
        </w:trPr>
        <w:tc>
          <w:tcPr>
            <w:tcW w:w="3721" w:type="dxa"/>
            <w:tcBorders/>
            <w:vAlign w:val="center"/>
          </w:tcPr>
          <w:p>
            <w:pPr>
              <w:pStyle w:val="TableHeading"/>
              <w:suppressLineNumbers/>
              <w:bidi w:val="0"/>
              <w:spacing w:before="0" w:after="283"/>
              <w:jc w:val="center"/>
              <w:rPr/>
            </w:pPr>
            <w:r>
              <w:rPr/>
              <w:t>Term</w:t>
            </w:r>
          </w:p>
        </w:tc>
        <w:tc>
          <w:tcPr>
            <w:tcW w:w="14672" w:type="dxa"/>
            <w:tcBorders/>
            <w:vAlign w:val="center"/>
          </w:tcPr>
          <w:p>
            <w:pPr>
              <w:pStyle w:val="TableHeading"/>
              <w:suppressLineNumbers/>
              <w:bidi w:val="0"/>
              <w:spacing w:before="0" w:after="283"/>
              <w:jc w:val="center"/>
              <w:rPr/>
            </w:pPr>
            <w:r>
              <w:rPr/>
              <w:t>Definition</w:t>
            </w:r>
          </w:p>
        </w:tc>
      </w:tr>
      <w:tr>
        <w:trPr/>
        <w:tc>
          <w:tcPr>
            <w:tcW w:w="3721" w:type="dxa"/>
            <w:tcBorders/>
            <w:vAlign w:val="center"/>
          </w:tcPr>
          <w:p>
            <w:pPr>
              <w:pStyle w:val="TableContents"/>
              <w:bidi w:val="0"/>
              <w:spacing w:before="0" w:after="283"/>
              <w:jc w:val="left"/>
              <w:rPr/>
            </w:pPr>
            <w:r>
              <w:rPr>
                <w:rStyle w:val="SourceText"/>
              </w:rPr>
              <w:t>job</w:t>
            </w:r>
          </w:p>
        </w:tc>
        <w:tc>
          <w:tcPr>
            <w:tcW w:w="14672" w:type="dxa"/>
            <w:tcBorders/>
            <w:vAlign w:val="center"/>
          </w:tcPr>
          <w:p>
            <w:pPr>
              <w:pStyle w:val="TableContents"/>
              <w:bidi w:val="0"/>
              <w:spacing w:before="0" w:after="283"/>
              <w:jc w:val="left"/>
              <w:rPr/>
            </w:pPr>
            <w:r>
              <w:rPr/>
              <w:t>A bounded set of responsibilities, activities, outcomes, and constraints performed for an organization or relying party</w:t>
            </w:r>
          </w:p>
        </w:tc>
      </w:tr>
      <w:tr>
        <w:trPr/>
        <w:tc>
          <w:tcPr>
            <w:tcW w:w="3721" w:type="dxa"/>
            <w:tcBorders/>
            <w:vAlign w:val="center"/>
          </w:tcPr>
          <w:p>
            <w:pPr>
              <w:pStyle w:val="TableContents"/>
              <w:bidi w:val="0"/>
              <w:spacing w:before="0" w:after="283"/>
              <w:jc w:val="left"/>
              <w:rPr/>
            </w:pPr>
            <w:r>
              <w:rPr>
                <w:rStyle w:val="SourceText"/>
              </w:rPr>
              <w:t>activity</w:t>
            </w:r>
          </w:p>
        </w:tc>
        <w:tc>
          <w:tcPr>
            <w:tcW w:w="14672" w:type="dxa"/>
            <w:tcBorders/>
            <w:vAlign w:val="center"/>
          </w:tcPr>
          <w:p>
            <w:pPr>
              <w:pStyle w:val="TableContents"/>
              <w:bidi w:val="0"/>
              <w:spacing w:before="0" w:after="283"/>
              <w:jc w:val="left"/>
              <w:rPr/>
            </w:pPr>
            <w:r>
              <w:rPr/>
              <w:t>A coherent unit of work within a job that may have its own qualification and autonomy boundary</w:t>
            </w:r>
          </w:p>
        </w:tc>
      </w:tr>
      <w:tr>
        <w:trPr/>
        <w:tc>
          <w:tcPr>
            <w:tcW w:w="3721" w:type="dxa"/>
            <w:tcBorders/>
            <w:vAlign w:val="center"/>
          </w:tcPr>
          <w:p>
            <w:pPr>
              <w:pStyle w:val="TableContents"/>
              <w:bidi w:val="0"/>
              <w:spacing w:before="0" w:after="283"/>
              <w:jc w:val="left"/>
              <w:rPr/>
            </w:pPr>
            <w:r>
              <w:rPr>
                <w:rStyle w:val="SourceText"/>
              </w:rPr>
              <w:t>job profile</w:t>
            </w:r>
          </w:p>
        </w:tc>
        <w:tc>
          <w:tcPr>
            <w:tcW w:w="14672" w:type="dxa"/>
            <w:tcBorders/>
            <w:vAlign w:val="center"/>
          </w:tcPr>
          <w:p>
            <w:pPr>
              <w:pStyle w:val="TableContents"/>
              <w:bidi w:val="0"/>
              <w:spacing w:before="0" w:after="283"/>
              <w:jc w:val="left"/>
              <w:rPr/>
            </w:pPr>
            <w:r>
              <w:rPr/>
              <w:t>A versioned description of a job's purpose, activities, knowledge, skills, decision axes, tools, data, evidence, and prohibited uses</w:t>
            </w:r>
          </w:p>
        </w:tc>
      </w:tr>
      <w:tr>
        <w:trPr/>
        <w:tc>
          <w:tcPr>
            <w:tcW w:w="3721" w:type="dxa"/>
            <w:tcBorders/>
            <w:vAlign w:val="center"/>
          </w:tcPr>
          <w:p>
            <w:pPr>
              <w:pStyle w:val="TableContents"/>
              <w:bidi w:val="0"/>
              <w:spacing w:before="0" w:after="283"/>
              <w:jc w:val="left"/>
              <w:rPr/>
            </w:pPr>
            <w:r>
              <w:rPr>
                <w:rStyle w:val="SourceText"/>
              </w:rPr>
              <w:t>operating profile</w:t>
            </w:r>
          </w:p>
        </w:tc>
        <w:tc>
          <w:tcPr>
            <w:tcW w:w="14672" w:type="dxa"/>
            <w:tcBorders/>
            <w:vAlign w:val="center"/>
          </w:tcPr>
          <w:p>
            <w:pPr>
              <w:pStyle w:val="TableContents"/>
              <w:bidi w:val="0"/>
              <w:spacing w:before="0" w:after="283"/>
              <w:jc w:val="left"/>
              <w:rPr/>
            </w:pPr>
            <w:r>
              <w:rPr/>
              <w:t xml:space="preserve">The materially relevant runtime state of an identified agent, as defined by </w:t>
            </w:r>
            <w:r>
              <w:rPr>
                <w:rStyle w:val="SourceText"/>
              </w:rPr>
              <w:t>TAK</w:t>
            </w:r>
            <w:r>
              <w:rPr/>
              <w:t xml:space="preserve"> and bound through </w:t>
            </w:r>
            <w:r>
              <w:rPr>
                <w:rStyle w:val="SourceText"/>
              </w:rPr>
              <w:t>GAID</w:t>
            </w:r>
          </w:p>
        </w:tc>
      </w:tr>
      <w:tr>
        <w:trPr/>
        <w:tc>
          <w:tcPr>
            <w:tcW w:w="3721" w:type="dxa"/>
            <w:tcBorders/>
            <w:vAlign w:val="center"/>
          </w:tcPr>
          <w:p>
            <w:pPr>
              <w:pStyle w:val="TableContents"/>
              <w:bidi w:val="0"/>
              <w:spacing w:before="0" w:after="283"/>
              <w:jc w:val="left"/>
              <w:rPr/>
            </w:pPr>
            <w:r>
              <w:rPr>
                <w:rStyle w:val="SourceText"/>
              </w:rPr>
              <w:t>qualification scheme</w:t>
            </w:r>
          </w:p>
        </w:tc>
        <w:tc>
          <w:tcPr>
            <w:tcW w:w="14672" w:type="dxa"/>
            <w:tcBorders/>
            <w:vAlign w:val="center"/>
          </w:tcPr>
          <w:p>
            <w:pPr>
              <w:pStyle w:val="TableContents"/>
              <w:bidi w:val="0"/>
              <w:spacing w:before="0" w:after="283"/>
              <w:jc w:val="left"/>
              <w:rPr/>
            </w:pPr>
            <w:r>
              <w:rPr/>
              <w:t>The rules, assessment methods, evidence requirements, decision process, validity, and revalidation policy used to determine job fitness</w:t>
            </w:r>
          </w:p>
        </w:tc>
      </w:tr>
      <w:tr>
        <w:trPr/>
        <w:tc>
          <w:tcPr>
            <w:tcW w:w="3721" w:type="dxa"/>
            <w:tcBorders/>
            <w:vAlign w:val="center"/>
          </w:tcPr>
          <w:p>
            <w:pPr>
              <w:pStyle w:val="TableContents"/>
              <w:bidi w:val="0"/>
              <w:spacing w:before="0" w:after="283"/>
              <w:jc w:val="left"/>
              <w:rPr/>
            </w:pPr>
            <w:r>
              <w:rPr>
                <w:rStyle w:val="SourceText"/>
              </w:rPr>
              <w:t>qualification record</w:t>
            </w:r>
          </w:p>
        </w:tc>
        <w:tc>
          <w:tcPr>
            <w:tcW w:w="14672" w:type="dxa"/>
            <w:tcBorders/>
            <w:vAlign w:val="center"/>
          </w:tcPr>
          <w:p>
            <w:pPr>
              <w:pStyle w:val="TableContents"/>
              <w:bidi w:val="0"/>
              <w:spacing w:before="0" w:after="283"/>
              <w:jc w:val="left"/>
              <w:rPr/>
            </w:pPr>
            <w:r>
              <w:rPr/>
              <w:t>A versioned assertion that a specific operating profile met a qualification scheme for a declared scope</w:t>
            </w:r>
          </w:p>
        </w:tc>
      </w:tr>
      <w:tr>
        <w:trPr/>
        <w:tc>
          <w:tcPr>
            <w:tcW w:w="3721" w:type="dxa"/>
            <w:tcBorders/>
            <w:vAlign w:val="center"/>
          </w:tcPr>
          <w:p>
            <w:pPr>
              <w:pStyle w:val="TableContents"/>
              <w:bidi w:val="0"/>
              <w:spacing w:before="0" w:after="283"/>
              <w:jc w:val="left"/>
              <w:rPr/>
            </w:pPr>
            <w:r>
              <w:rPr>
                <w:rStyle w:val="SourceText"/>
              </w:rPr>
              <w:t>qualification subject</w:t>
            </w:r>
          </w:p>
        </w:tc>
        <w:tc>
          <w:tcPr>
            <w:tcW w:w="14672" w:type="dxa"/>
            <w:tcBorders/>
            <w:vAlign w:val="center"/>
          </w:tcPr>
          <w:p>
            <w:pPr>
              <w:pStyle w:val="TableContents"/>
              <w:bidi w:val="0"/>
              <w:spacing w:before="0" w:after="283"/>
              <w:jc w:val="left"/>
              <w:rPr/>
            </w:pPr>
            <w:r>
              <w:rPr/>
              <w:t>The tuple of agent identity, operating-profile fingerprint, job-profile version, activity scope, deployment context, and applicable data/risk classes</w:t>
            </w:r>
          </w:p>
        </w:tc>
      </w:tr>
      <w:tr>
        <w:trPr/>
        <w:tc>
          <w:tcPr>
            <w:tcW w:w="3721" w:type="dxa"/>
            <w:tcBorders/>
            <w:vAlign w:val="center"/>
          </w:tcPr>
          <w:p>
            <w:pPr>
              <w:pStyle w:val="TableContents"/>
              <w:bidi w:val="0"/>
              <w:spacing w:before="0" w:after="283"/>
              <w:jc w:val="left"/>
              <w:rPr/>
            </w:pPr>
            <w:r>
              <w:rPr>
                <w:rStyle w:val="SourceText"/>
              </w:rPr>
              <w:t>job-specific intelligence</w:t>
            </w:r>
          </w:p>
        </w:tc>
        <w:tc>
          <w:tcPr>
            <w:tcW w:w="14672" w:type="dxa"/>
            <w:tcBorders/>
            <w:vAlign w:val="center"/>
          </w:tcPr>
          <w:p>
            <w:pPr>
              <w:pStyle w:val="TableContents"/>
              <w:bidi w:val="0"/>
              <w:spacing w:before="0" w:after="283"/>
              <w:jc w:val="left"/>
              <w:rPr/>
            </w:pPr>
            <w:r>
              <w:rPr/>
              <w:t>The demonstrated ability of a qualification subject to perform a declared job/activity within its constraints and evidence requirements</w:t>
            </w:r>
          </w:p>
        </w:tc>
      </w:tr>
      <w:tr>
        <w:trPr/>
        <w:tc>
          <w:tcPr>
            <w:tcW w:w="3721" w:type="dxa"/>
            <w:tcBorders/>
            <w:vAlign w:val="center"/>
          </w:tcPr>
          <w:p>
            <w:pPr>
              <w:pStyle w:val="TableContents"/>
              <w:bidi w:val="0"/>
              <w:spacing w:before="0" w:after="283"/>
              <w:jc w:val="left"/>
              <w:rPr/>
            </w:pPr>
            <w:r>
              <w:rPr>
                <w:rStyle w:val="SourceText"/>
              </w:rPr>
              <w:t>declared capability</w:t>
            </w:r>
          </w:p>
        </w:tc>
        <w:tc>
          <w:tcPr>
            <w:tcW w:w="14672" w:type="dxa"/>
            <w:tcBorders/>
            <w:vAlign w:val="center"/>
          </w:tcPr>
          <w:p>
            <w:pPr>
              <w:pStyle w:val="TableContents"/>
              <w:bidi w:val="0"/>
              <w:spacing w:before="0" w:after="283"/>
              <w:jc w:val="left"/>
              <w:rPr/>
            </w:pPr>
            <w:r>
              <w:rPr/>
              <w:t>A capability stated by an operator, vendor, model card, tool description, or agent metadata without job-specific proof</w:t>
            </w:r>
          </w:p>
        </w:tc>
      </w:tr>
      <w:tr>
        <w:trPr/>
        <w:tc>
          <w:tcPr>
            <w:tcW w:w="3721" w:type="dxa"/>
            <w:tcBorders/>
            <w:vAlign w:val="center"/>
          </w:tcPr>
          <w:p>
            <w:pPr>
              <w:pStyle w:val="TableContents"/>
              <w:bidi w:val="0"/>
              <w:spacing w:before="0" w:after="283"/>
              <w:jc w:val="left"/>
              <w:rPr/>
            </w:pPr>
            <w:r>
              <w:rPr>
                <w:rStyle w:val="SourceText"/>
              </w:rPr>
              <w:t>tested capability</w:t>
            </w:r>
          </w:p>
        </w:tc>
        <w:tc>
          <w:tcPr>
            <w:tcW w:w="14672" w:type="dxa"/>
            <w:tcBorders/>
            <w:vAlign w:val="center"/>
          </w:tcPr>
          <w:p>
            <w:pPr>
              <w:pStyle w:val="TableContents"/>
              <w:bidi w:val="0"/>
              <w:spacing w:before="0" w:after="283"/>
              <w:jc w:val="left"/>
              <w:rPr/>
            </w:pPr>
            <w:r>
              <w:rPr/>
              <w:t>A capability observed under a declared evaluation, without necessarily satisfying a complete job qualification scheme</w:t>
            </w:r>
          </w:p>
        </w:tc>
      </w:tr>
      <w:tr>
        <w:trPr/>
        <w:tc>
          <w:tcPr>
            <w:tcW w:w="3721" w:type="dxa"/>
            <w:tcBorders/>
            <w:vAlign w:val="center"/>
          </w:tcPr>
          <w:p>
            <w:pPr>
              <w:pStyle w:val="TableContents"/>
              <w:bidi w:val="0"/>
              <w:spacing w:before="0" w:after="283"/>
              <w:jc w:val="left"/>
              <w:rPr/>
            </w:pPr>
            <w:r>
              <w:rPr>
                <w:rStyle w:val="SourceText"/>
              </w:rPr>
              <w:t>qualified capability</w:t>
            </w:r>
          </w:p>
        </w:tc>
        <w:tc>
          <w:tcPr>
            <w:tcW w:w="14672" w:type="dxa"/>
            <w:tcBorders/>
            <w:vAlign w:val="center"/>
          </w:tcPr>
          <w:p>
            <w:pPr>
              <w:pStyle w:val="TableContents"/>
              <w:bidi w:val="0"/>
              <w:spacing w:before="0" w:after="283"/>
              <w:jc w:val="left"/>
              <w:rPr/>
            </w:pPr>
            <w:r>
              <w:rPr/>
              <w:t>A capability that satisfies the applicable qualification scheme for its declared scope</w:t>
            </w:r>
          </w:p>
        </w:tc>
      </w:tr>
      <w:tr>
        <w:trPr/>
        <w:tc>
          <w:tcPr>
            <w:tcW w:w="3721" w:type="dxa"/>
            <w:tcBorders/>
            <w:vAlign w:val="center"/>
          </w:tcPr>
          <w:p>
            <w:pPr>
              <w:pStyle w:val="TableContents"/>
              <w:bidi w:val="0"/>
              <w:spacing w:before="0" w:after="283"/>
              <w:jc w:val="left"/>
              <w:rPr/>
            </w:pPr>
            <w:r>
              <w:rPr>
                <w:rStyle w:val="SourceText"/>
              </w:rPr>
              <w:t>work-sample assessment</w:t>
            </w:r>
          </w:p>
        </w:tc>
        <w:tc>
          <w:tcPr>
            <w:tcW w:w="14672" w:type="dxa"/>
            <w:tcBorders/>
            <w:vAlign w:val="center"/>
          </w:tcPr>
          <w:p>
            <w:pPr>
              <w:pStyle w:val="TableContents"/>
              <w:bidi w:val="0"/>
              <w:spacing w:before="0" w:after="283"/>
              <w:jc w:val="left"/>
              <w:rPr/>
            </w:pPr>
            <w:r>
              <w:rPr/>
              <w:t>A representative task performed end-to-end through the subject's real production execution path, judged afterwards against declared assessment criteria</w:t>
            </w:r>
          </w:p>
        </w:tc>
      </w:tr>
      <w:tr>
        <w:trPr/>
        <w:tc>
          <w:tcPr>
            <w:tcW w:w="3721" w:type="dxa"/>
            <w:tcBorders/>
            <w:vAlign w:val="center"/>
          </w:tcPr>
          <w:p>
            <w:pPr>
              <w:pStyle w:val="TableContents"/>
              <w:bidi w:val="0"/>
              <w:spacing w:before="0" w:after="283"/>
              <w:jc w:val="left"/>
              <w:rPr/>
            </w:pPr>
            <w:r>
              <w:rPr>
                <w:rStyle w:val="SourceText"/>
              </w:rPr>
              <w:t>assessment criterion</w:t>
            </w:r>
          </w:p>
        </w:tc>
        <w:tc>
          <w:tcPr>
            <w:tcW w:w="14672" w:type="dxa"/>
            <w:tcBorders/>
            <w:vAlign w:val="center"/>
          </w:tcPr>
          <w:p>
            <w:pPr>
              <w:pStyle w:val="TableContents"/>
              <w:bidi w:val="0"/>
              <w:spacing w:before="0" w:after="283"/>
              <w:jc w:val="left"/>
              <w:rPr/>
            </w:pPr>
            <w:r>
              <w:rPr/>
              <w:t>A single independently checkable assertion about a recorded work sample, stated as the competency being assured</w:t>
            </w:r>
          </w:p>
        </w:tc>
      </w:tr>
      <w:tr>
        <w:trPr/>
        <w:tc>
          <w:tcPr>
            <w:tcW w:w="3721" w:type="dxa"/>
            <w:tcBorders/>
            <w:vAlign w:val="center"/>
          </w:tcPr>
          <w:p>
            <w:pPr>
              <w:pStyle w:val="TableContents"/>
              <w:bidi w:val="0"/>
              <w:spacing w:before="0" w:after="283"/>
              <w:jc w:val="left"/>
              <w:rPr/>
            </w:pPr>
            <w:r>
              <w:rPr>
                <w:rStyle w:val="SourceText"/>
              </w:rPr>
              <w:t>governed execution record</w:t>
            </w:r>
          </w:p>
        </w:tc>
        <w:tc>
          <w:tcPr>
            <w:tcW w:w="14672" w:type="dxa"/>
            <w:tcBorders/>
            <w:vAlign w:val="center"/>
          </w:tcPr>
          <w:p>
            <w:pPr>
              <w:pStyle w:val="TableContents"/>
              <w:bidi w:val="0"/>
              <w:spacing w:before="0" w:after="283"/>
              <w:jc w:val="left"/>
              <w:rPr/>
            </w:pPr>
            <w:r>
              <w:rPr/>
              <w:t>The authoritative retained log of operations an agent actually performed, independent of any one execution transport's instrumentation</w:t>
            </w:r>
          </w:p>
        </w:tc>
      </w:tr>
      <w:tr>
        <w:trPr/>
        <w:tc>
          <w:tcPr>
            <w:tcW w:w="3721" w:type="dxa"/>
            <w:tcBorders/>
            <w:vAlign w:val="center"/>
          </w:tcPr>
          <w:p>
            <w:pPr>
              <w:pStyle w:val="TableContents"/>
              <w:bidi w:val="0"/>
              <w:spacing w:before="0" w:after="283"/>
              <w:jc w:val="left"/>
              <w:rPr/>
            </w:pPr>
            <w:r>
              <w:rPr>
                <w:rStyle w:val="SourceText"/>
              </w:rPr>
              <w:t>authorization envelope</w:t>
            </w:r>
          </w:p>
        </w:tc>
        <w:tc>
          <w:tcPr>
            <w:tcW w:w="14672" w:type="dxa"/>
            <w:tcBorders/>
            <w:vAlign w:val="center"/>
          </w:tcPr>
          <w:p>
            <w:pPr>
              <w:pStyle w:val="TableContents"/>
              <w:bidi w:val="0"/>
              <w:spacing w:before="0" w:after="283"/>
              <w:jc w:val="left"/>
              <w:rPr/>
            </w:pPr>
            <w:r>
              <w:rPr/>
              <w:t>The set of operations a subject's grants and permitted consequence classes allow, as distinct from any narrower surface an assessment harness presents</w:t>
            </w:r>
          </w:p>
        </w:tc>
      </w:tr>
      <w:tr>
        <w:trPr/>
        <w:tc>
          <w:tcPr>
            <w:tcW w:w="3721" w:type="dxa"/>
            <w:tcBorders/>
            <w:vAlign w:val="center"/>
          </w:tcPr>
          <w:p>
            <w:pPr>
              <w:pStyle w:val="TableContents"/>
              <w:bidi w:val="0"/>
              <w:spacing w:before="0" w:after="283"/>
              <w:jc w:val="left"/>
              <w:rPr/>
            </w:pPr>
            <w:r>
              <w:rPr>
                <w:rStyle w:val="SourceText"/>
              </w:rPr>
              <w:t>surveillance</w:t>
            </w:r>
          </w:p>
        </w:tc>
        <w:tc>
          <w:tcPr>
            <w:tcW w:w="14672" w:type="dxa"/>
            <w:tcBorders/>
            <w:vAlign w:val="center"/>
          </w:tcPr>
          <w:p>
            <w:pPr>
              <w:pStyle w:val="TableContents"/>
              <w:bidi w:val="0"/>
              <w:spacing w:before="0" w:after="283"/>
              <w:jc w:val="left"/>
              <w:rPr/>
            </w:pPr>
            <w:r>
              <w:rPr/>
              <w:t>Ongoing monitoring used to determine whether a qualification remains valid between formal reassessments</w:t>
            </w:r>
          </w:p>
        </w:tc>
      </w:tr>
      <w:tr>
        <w:trPr/>
        <w:tc>
          <w:tcPr>
            <w:tcW w:w="3721" w:type="dxa"/>
            <w:tcBorders/>
            <w:vAlign w:val="center"/>
          </w:tcPr>
          <w:p>
            <w:pPr>
              <w:pStyle w:val="TableContents"/>
              <w:bidi w:val="0"/>
              <w:spacing w:before="0" w:after="283"/>
              <w:jc w:val="left"/>
              <w:rPr/>
            </w:pPr>
            <w:r>
              <w:rPr>
                <w:rStyle w:val="SourceText"/>
              </w:rPr>
              <w:t>material change</w:t>
            </w:r>
          </w:p>
        </w:tc>
        <w:tc>
          <w:tcPr>
            <w:tcW w:w="14672" w:type="dxa"/>
            <w:tcBorders/>
            <w:vAlign w:val="center"/>
          </w:tcPr>
          <w:p>
            <w:pPr>
              <w:pStyle w:val="TableContents"/>
              <w:bidi w:val="0"/>
              <w:spacing w:before="0" w:after="283"/>
              <w:jc w:val="left"/>
              <w:rPr/>
            </w:pPr>
            <w:r>
              <w:rPr/>
              <w:t>A change capable of altering job performance, risk, data handling, authority, or the validity of prior evidence</w:t>
            </w:r>
          </w:p>
        </w:tc>
      </w:tr>
      <w:tr>
        <w:trPr/>
        <w:tc>
          <w:tcPr>
            <w:tcW w:w="3721" w:type="dxa"/>
            <w:tcBorders/>
            <w:vAlign w:val="center"/>
          </w:tcPr>
          <w:p>
            <w:pPr>
              <w:pStyle w:val="TableContents"/>
              <w:bidi w:val="0"/>
              <w:spacing w:before="0" w:after="283"/>
              <w:jc w:val="left"/>
              <w:rPr/>
            </w:pPr>
            <w:r>
              <w:rPr>
                <w:rStyle w:val="SourceText"/>
              </w:rPr>
              <w:t>proactivity</w:t>
            </w:r>
          </w:p>
        </w:tc>
        <w:tc>
          <w:tcPr>
            <w:tcW w:w="14672" w:type="dxa"/>
            <w:tcBorders/>
            <w:vAlign w:val="center"/>
          </w:tcPr>
          <w:p>
            <w:pPr>
              <w:pStyle w:val="TableContents"/>
              <w:bidi w:val="0"/>
              <w:spacing w:before="0" w:after="283"/>
              <w:jc w:val="left"/>
              <w:rPr/>
            </w:pPr>
            <w:r>
              <w:rPr/>
              <w:t>The requested degree of initiative an agent may take before involving a human</w:t>
            </w:r>
          </w:p>
        </w:tc>
      </w:tr>
      <w:tr>
        <w:trPr/>
        <w:tc>
          <w:tcPr>
            <w:tcW w:w="3721" w:type="dxa"/>
            <w:tcBorders/>
            <w:vAlign w:val="center"/>
          </w:tcPr>
          <w:p>
            <w:pPr>
              <w:pStyle w:val="TableContents"/>
              <w:bidi w:val="0"/>
              <w:spacing w:before="0" w:after="283"/>
              <w:jc w:val="left"/>
              <w:rPr/>
            </w:pPr>
            <w:r>
              <w:rPr>
                <w:rStyle w:val="SourceText"/>
              </w:rPr>
              <w:t>earned autonomy</w:t>
            </w:r>
          </w:p>
        </w:tc>
        <w:tc>
          <w:tcPr>
            <w:tcW w:w="14672" w:type="dxa"/>
            <w:tcBorders/>
            <w:vAlign w:val="center"/>
          </w:tcPr>
          <w:p>
            <w:pPr>
              <w:pStyle w:val="TableContents"/>
              <w:bidi w:val="0"/>
              <w:spacing w:before="0" w:after="283"/>
              <w:jc w:val="left"/>
              <w:rPr/>
            </w:pPr>
            <w:r>
              <w:rPr/>
              <w:t>The runtime action latitude justified by evidence and policy for a specific agent, activity, and risk scope</w:t>
            </w:r>
          </w:p>
        </w:tc>
      </w:tr>
      <w:tr>
        <w:trPr/>
        <w:tc>
          <w:tcPr>
            <w:tcW w:w="3721" w:type="dxa"/>
            <w:tcBorders/>
            <w:vAlign w:val="center"/>
          </w:tcPr>
          <w:p>
            <w:pPr>
              <w:pStyle w:val="TableContents"/>
              <w:bidi w:val="0"/>
              <w:spacing w:before="0" w:after="283"/>
              <w:jc w:val="left"/>
              <w:rPr/>
            </w:pPr>
            <w:r>
              <w:rPr>
                <w:rStyle w:val="SourceText"/>
              </w:rPr>
              <w:t>autonomy ceiling</w:t>
            </w:r>
          </w:p>
        </w:tc>
        <w:tc>
          <w:tcPr>
            <w:tcW w:w="14672" w:type="dxa"/>
            <w:tcBorders/>
            <w:vAlign w:val="center"/>
          </w:tcPr>
          <w:p>
            <w:pPr>
              <w:pStyle w:val="TableContents"/>
              <w:bidi w:val="0"/>
              <w:spacing w:before="0" w:after="283"/>
              <w:jc w:val="left"/>
              <w:rPr/>
            </w:pPr>
            <w:r>
              <w:rPr/>
              <w:t>The highest runtime oversight tier allowed after intersecting authority, qualification, data, regulatory, and risk constraints</w:t>
            </w:r>
          </w:p>
        </w:tc>
      </w:tr>
      <w:tr>
        <w:trPr/>
        <w:tc>
          <w:tcPr>
            <w:tcW w:w="3721" w:type="dxa"/>
            <w:tcBorders/>
            <w:vAlign w:val="center"/>
          </w:tcPr>
          <w:p>
            <w:pPr>
              <w:pStyle w:val="TableContents"/>
              <w:bidi w:val="0"/>
              <w:spacing w:before="0" w:after="283"/>
              <w:jc w:val="left"/>
              <w:rPr/>
            </w:pPr>
            <w:r>
              <w:rPr>
                <w:rStyle w:val="SourceText"/>
              </w:rPr>
              <w:t>data steward</w:t>
            </w:r>
          </w:p>
        </w:tc>
        <w:tc>
          <w:tcPr>
            <w:tcW w:w="14672" w:type="dxa"/>
            <w:tcBorders/>
            <w:vAlign w:val="center"/>
          </w:tcPr>
          <w:p>
            <w:pPr>
              <w:pStyle w:val="TableContents"/>
              <w:bidi w:val="0"/>
              <w:spacing w:before="0" w:after="283"/>
              <w:jc w:val="left"/>
              <w:rPr/>
            </w:pPr>
            <w:r>
              <w:rPr/>
              <w:t>The accountable role responsible for a data domain's meaning, quality, classification, permitted use, and lifecycle expectations</w:t>
            </w:r>
          </w:p>
        </w:tc>
      </w:tr>
    </w:tbl>
    <w:p>
      <w:pPr>
        <w:pStyle w:val="Heading2"/>
        <w:bidi w:val="0"/>
        <w:jc w:val="left"/>
        <w:rPr/>
      </w:pPr>
      <w:r>
        <w:rPr/>
        <w:t>5. Core Principle</w:t>
      </w:r>
    </w:p>
    <w:p>
      <w:pPr>
        <w:pStyle w:val="BodyText"/>
        <w:bidi w:val="0"/>
        <w:jc w:val="left"/>
        <w:rPr/>
      </w:pPr>
      <w:r>
        <w:rPr/>
        <w:t xml:space="preserve">The core principle of </w:t>
      </w:r>
      <w:r>
        <w:rPr>
          <w:rStyle w:val="SourceText"/>
        </w:rPr>
        <w:t>TAK-JSI</w:t>
      </w:r>
      <w:r>
        <w:rPr/>
        <w:t xml:space="preserve"> is:</w:t>
      </w:r>
    </w:p>
    <w:p>
      <w:pPr>
        <w:pStyle w:val="BlockQuotation"/>
        <w:bidi w:val="0"/>
        <w:jc w:val="left"/>
        <w:rPr/>
      </w:pPr>
      <w:r>
        <w:rPr/>
        <w:t>Intelligence for autonomous work is qualified against the job, operating profile, data, tools, and consequences that exist in practice. It is not inferred from a model label or a generic benchmark.</w:t>
      </w:r>
    </w:p>
    <w:p>
      <w:pPr>
        <w:pStyle w:val="BodyText"/>
        <w:bidi w:val="0"/>
        <w:jc w:val="left"/>
        <w:rPr/>
      </w:pPr>
      <w:r>
        <w:rPr/>
        <w:t>The qualification subject is therefore:</w:t>
      </w:r>
    </w:p>
    <w:p>
      <w:pPr>
        <w:pStyle w:val="PreformattedText"/>
        <w:bidi w:val="0"/>
        <w:jc w:val="left"/>
        <w:rPr/>
      </w:pPr>
      <w:r>
        <w:rPr>
          <w:rStyle w:val="SourceText"/>
        </w:rPr>
        <w:t>(GAID subject</w:t>
      </w:r>
    </w:p>
    <w:p>
      <w:pPr>
        <w:pStyle w:val="PreformattedText"/>
        <w:bidi w:val="0"/>
        <w:jc w:val="left"/>
        <w:rPr/>
      </w:pPr>
      <w:r>
        <w:rPr>
          <w:rStyle w:val="SourceText"/>
        </w:rPr>
        <w:t xml:space="preserve"> </w:t>
      </w:r>
      <w:r>
        <w:rPr>
          <w:rStyle w:val="SourceText"/>
        </w:rPr>
        <w:t>× operating-profile fingerprint</w:t>
      </w:r>
    </w:p>
    <w:p>
      <w:pPr>
        <w:pStyle w:val="PreformattedText"/>
        <w:bidi w:val="0"/>
        <w:jc w:val="left"/>
        <w:rPr/>
      </w:pPr>
      <w:r>
        <w:rPr>
          <w:rStyle w:val="SourceText"/>
        </w:rPr>
        <w:t xml:space="preserve"> </w:t>
      </w:r>
      <w:r>
        <w:rPr>
          <w:rStyle w:val="SourceText"/>
        </w:rPr>
        <w:t>× job-profile version</w:t>
      </w:r>
    </w:p>
    <w:p>
      <w:pPr>
        <w:pStyle w:val="PreformattedText"/>
        <w:bidi w:val="0"/>
        <w:jc w:val="left"/>
        <w:rPr/>
      </w:pPr>
      <w:r>
        <w:rPr>
          <w:rStyle w:val="SourceText"/>
        </w:rPr>
        <w:t xml:space="preserve"> </w:t>
      </w:r>
      <w:r>
        <w:rPr>
          <w:rStyle w:val="SourceText"/>
        </w:rPr>
        <w:t>× activity</w:t>
      </w:r>
    </w:p>
    <w:p>
      <w:pPr>
        <w:pStyle w:val="PreformattedText"/>
        <w:bidi w:val="0"/>
        <w:jc w:val="left"/>
        <w:rPr/>
      </w:pPr>
      <w:r>
        <w:rPr>
          <w:rStyle w:val="SourceText"/>
        </w:rPr>
        <w:t xml:space="preserve"> </w:t>
      </w:r>
      <w:r>
        <w:rPr>
          <w:rStyle w:val="SourceText"/>
        </w:rPr>
        <w:t>× deployment context</w:t>
      </w:r>
    </w:p>
    <w:p>
      <w:pPr>
        <w:pStyle w:val="PreformattedText"/>
        <w:bidi w:val="0"/>
        <w:spacing w:before="0" w:after="283"/>
        <w:jc w:val="left"/>
        <w:rPr/>
      </w:pPr>
      <w:r>
        <w:rPr>
          <w:rStyle w:val="SourceText"/>
        </w:rPr>
        <w:t xml:space="preserve"> </w:t>
      </w:r>
      <w:r>
        <w:rPr>
          <w:rStyle w:val="SourceText"/>
        </w:rPr>
        <w:t>× data/risk scope)</w:t>
      </w:r>
    </w:p>
    <w:p>
      <w:pPr>
        <w:pStyle w:val="BodyText"/>
        <w:bidi w:val="0"/>
        <w:jc w:val="left"/>
        <w:rPr/>
      </w:pPr>
      <w:r>
        <w:rPr/>
        <w:t xml:space="preserve">A qualification </w:t>
      </w:r>
      <w:r>
        <w:rPr>
          <w:rStyle w:val="SourceText"/>
        </w:rPr>
        <w:t>MUST NOT</w:t>
      </w:r>
      <w:r>
        <w:rPr/>
        <w:t xml:space="preserve"> be generalized beyond that tuple without additional evidence.</w:t>
      </w:r>
    </w:p>
    <w:p>
      <w:pPr>
        <w:pStyle w:val="Heading2"/>
        <w:bidi w:val="0"/>
        <w:jc w:val="left"/>
        <w:rPr/>
      </w:pPr>
      <w:r>
        <w:rPr/>
        <w:t>6. Relationship to TAK, GAID, WSID, Proactivity, and the Golden Triangle</w:t>
      </w:r>
    </w:p>
    <w:tbl>
      <w:tblPr>
        <w:tblW w:w="19466" w:type="dxa"/>
        <w:jc w:val="left"/>
        <w:tblInd w:w="0" w:type="dxa"/>
        <w:tblLayout w:type="fixed"/>
        <w:tblCellMar>
          <w:top w:w="28" w:type="dxa"/>
          <w:left w:w="28" w:type="dxa"/>
          <w:bottom w:w="28" w:type="dxa"/>
          <w:right w:w="28" w:type="dxa"/>
        </w:tblCellMar>
      </w:tblPr>
      <w:tblGrid>
        <w:gridCol w:w="3419"/>
        <w:gridCol w:w="3002"/>
        <w:gridCol w:w="13045"/>
      </w:tblGrid>
      <w:tr>
        <w:trPr>
          <w:tblHeader w:val="true"/>
        </w:trPr>
        <w:tc>
          <w:tcPr>
            <w:tcW w:w="3419" w:type="dxa"/>
            <w:tcBorders/>
            <w:vAlign w:val="center"/>
          </w:tcPr>
          <w:p>
            <w:pPr>
              <w:pStyle w:val="TableHeading"/>
              <w:suppressLineNumbers/>
              <w:bidi w:val="0"/>
              <w:spacing w:before="0" w:after="283"/>
              <w:jc w:val="center"/>
              <w:rPr/>
            </w:pPr>
            <w:r>
              <w:rPr/>
              <w:t>Concern</w:t>
            </w:r>
          </w:p>
        </w:tc>
        <w:tc>
          <w:tcPr>
            <w:tcW w:w="3002" w:type="dxa"/>
            <w:tcBorders/>
            <w:vAlign w:val="center"/>
          </w:tcPr>
          <w:p>
            <w:pPr>
              <w:pStyle w:val="TableHeading"/>
              <w:suppressLineNumbers/>
              <w:bidi w:val="0"/>
              <w:spacing w:before="0" w:after="283"/>
              <w:jc w:val="center"/>
              <w:rPr/>
            </w:pPr>
            <w:r>
              <w:rPr/>
              <w:t>Canonical owner</w:t>
            </w:r>
          </w:p>
        </w:tc>
        <w:tc>
          <w:tcPr>
            <w:tcW w:w="13045" w:type="dxa"/>
            <w:tcBorders/>
            <w:vAlign w:val="center"/>
          </w:tcPr>
          <w:p>
            <w:pPr>
              <w:pStyle w:val="TableHeading"/>
              <w:suppressLineNumbers/>
              <w:bidi w:val="0"/>
              <w:spacing w:before="0" w:after="283"/>
              <w:jc w:val="center"/>
              <w:rPr/>
            </w:pPr>
            <w:r>
              <w:rPr>
                <w:rStyle w:val="SourceText"/>
              </w:rPr>
              <w:t>TAK-JSI</w:t>
            </w:r>
            <w:r>
              <w:rPr/>
              <w:t xml:space="preserve"> relationship</w:t>
            </w:r>
          </w:p>
        </w:tc>
      </w:tr>
      <w:tr>
        <w:trPr/>
        <w:tc>
          <w:tcPr>
            <w:tcW w:w="3419" w:type="dxa"/>
            <w:tcBorders/>
            <w:vAlign w:val="center"/>
          </w:tcPr>
          <w:p>
            <w:pPr>
              <w:pStyle w:val="TableContents"/>
              <w:bidi w:val="0"/>
              <w:spacing w:before="0" w:after="283"/>
              <w:jc w:val="left"/>
              <w:rPr/>
            </w:pPr>
            <w:r>
              <w:rPr/>
              <w:t>Identity and advertised claim</w:t>
            </w:r>
          </w:p>
        </w:tc>
        <w:tc>
          <w:tcPr>
            <w:tcW w:w="3002" w:type="dxa"/>
            <w:tcBorders/>
            <w:vAlign w:val="center"/>
          </w:tcPr>
          <w:p>
            <w:pPr>
              <w:pStyle w:val="TableContents"/>
              <w:bidi w:val="0"/>
              <w:spacing w:before="0" w:after="283"/>
              <w:jc w:val="left"/>
              <w:rPr/>
            </w:pPr>
            <w:r>
              <w:rPr>
                <w:rStyle w:val="SourceText"/>
              </w:rPr>
              <w:t>GAID</w:t>
            </w:r>
          </w:p>
        </w:tc>
        <w:tc>
          <w:tcPr>
            <w:tcW w:w="13045" w:type="dxa"/>
            <w:tcBorders/>
            <w:vAlign w:val="center"/>
          </w:tcPr>
          <w:p>
            <w:pPr>
              <w:pStyle w:val="TableContents"/>
              <w:bidi w:val="0"/>
              <w:spacing w:before="0" w:after="283"/>
              <w:jc w:val="left"/>
              <w:rPr/>
            </w:pPr>
            <w:r>
              <w:rPr/>
              <w:t>Provides a qualification claim that GAID binds to a subject, profile, status, and evidence</w:t>
            </w:r>
          </w:p>
        </w:tc>
      </w:tr>
      <w:tr>
        <w:trPr/>
        <w:tc>
          <w:tcPr>
            <w:tcW w:w="3419" w:type="dxa"/>
            <w:tcBorders/>
            <w:vAlign w:val="center"/>
          </w:tcPr>
          <w:p>
            <w:pPr>
              <w:pStyle w:val="TableContents"/>
              <w:bidi w:val="0"/>
              <w:spacing w:before="0" w:after="283"/>
              <w:jc w:val="left"/>
              <w:rPr/>
            </w:pPr>
            <w:r>
              <w:rPr/>
              <w:t>Runtime permission and oversight</w:t>
            </w:r>
          </w:p>
        </w:tc>
        <w:tc>
          <w:tcPr>
            <w:tcW w:w="3002" w:type="dxa"/>
            <w:tcBorders/>
            <w:vAlign w:val="center"/>
          </w:tcPr>
          <w:p>
            <w:pPr>
              <w:pStyle w:val="TableContents"/>
              <w:bidi w:val="0"/>
              <w:spacing w:before="0" w:after="283"/>
              <w:jc w:val="left"/>
              <w:rPr/>
            </w:pPr>
            <w:r>
              <w:rPr>
                <w:rStyle w:val="SourceText"/>
              </w:rPr>
              <w:t>TAK</w:t>
            </w:r>
          </w:p>
        </w:tc>
        <w:tc>
          <w:tcPr>
            <w:tcW w:w="13045" w:type="dxa"/>
            <w:tcBorders/>
            <w:vAlign w:val="center"/>
          </w:tcPr>
          <w:p>
            <w:pPr>
              <w:pStyle w:val="TableContents"/>
              <w:bidi w:val="0"/>
              <w:spacing w:before="0" w:after="283"/>
              <w:jc w:val="left"/>
              <w:rPr/>
            </w:pPr>
            <w:r>
              <w:rPr/>
              <w:t>Provides an autonomy ceiling and qualification status that TAK enforces at action time</w:t>
            </w:r>
          </w:p>
        </w:tc>
      </w:tr>
      <w:tr>
        <w:trPr/>
        <w:tc>
          <w:tcPr>
            <w:tcW w:w="3419" w:type="dxa"/>
            <w:tcBorders/>
            <w:vAlign w:val="center"/>
          </w:tcPr>
          <w:p>
            <w:pPr>
              <w:pStyle w:val="TableContents"/>
              <w:bidi w:val="0"/>
              <w:spacing w:before="0" w:after="283"/>
              <w:jc w:val="left"/>
              <w:rPr/>
            </w:pPr>
            <w:r>
              <w:rPr/>
              <w:t>Profession and craft doctrine</w:t>
            </w:r>
          </w:p>
        </w:tc>
        <w:tc>
          <w:tcPr>
            <w:tcW w:w="3002" w:type="dxa"/>
            <w:tcBorders/>
            <w:vAlign w:val="center"/>
          </w:tcPr>
          <w:p>
            <w:pPr>
              <w:pStyle w:val="TableContents"/>
              <w:bidi w:val="0"/>
              <w:spacing w:before="0" w:after="283"/>
              <w:jc w:val="left"/>
              <w:rPr/>
            </w:pPr>
            <w:r>
              <w:rPr>
                <w:rStyle w:val="SourceText"/>
              </w:rPr>
              <w:t>WSID</w:t>
            </w:r>
            <w:r>
              <w:rPr/>
              <w:t xml:space="preserve"> or equivalent</w:t>
            </w:r>
          </w:p>
        </w:tc>
        <w:tc>
          <w:tcPr>
            <w:tcW w:w="13045" w:type="dxa"/>
            <w:tcBorders/>
            <w:vAlign w:val="center"/>
          </w:tcPr>
          <w:p>
            <w:pPr>
              <w:pStyle w:val="TableContents"/>
              <w:bidi w:val="0"/>
              <w:spacing w:before="0" w:after="283"/>
              <w:jc w:val="left"/>
              <w:rPr/>
            </w:pPr>
            <w:r>
              <w:rPr/>
              <w:t>Consumes versioned knowledge, techniques, decision axes, and evidence practices; does not redefine them</w:t>
            </w:r>
          </w:p>
        </w:tc>
      </w:tr>
      <w:tr>
        <w:trPr/>
        <w:tc>
          <w:tcPr>
            <w:tcW w:w="3419" w:type="dxa"/>
            <w:tcBorders/>
            <w:vAlign w:val="center"/>
          </w:tcPr>
          <w:p>
            <w:pPr>
              <w:pStyle w:val="TableContents"/>
              <w:bidi w:val="0"/>
              <w:spacing w:before="0" w:after="283"/>
              <w:jc w:val="left"/>
              <w:rPr/>
            </w:pPr>
            <w:r>
              <w:rPr/>
              <w:t>Human initiative preference</w:t>
            </w:r>
          </w:p>
        </w:tc>
        <w:tc>
          <w:tcPr>
            <w:tcW w:w="3002" w:type="dxa"/>
            <w:tcBorders/>
            <w:vAlign w:val="center"/>
          </w:tcPr>
          <w:p>
            <w:pPr>
              <w:pStyle w:val="TableContents"/>
              <w:bidi w:val="0"/>
              <w:spacing w:before="0" w:after="283"/>
              <w:jc w:val="left"/>
              <w:rPr/>
            </w:pPr>
            <w:r>
              <w:rPr/>
              <w:t>Proactivity policy</w:t>
            </w:r>
          </w:p>
        </w:tc>
        <w:tc>
          <w:tcPr>
            <w:tcW w:w="13045" w:type="dxa"/>
            <w:tcBorders/>
            <w:vAlign w:val="center"/>
          </w:tcPr>
          <w:p>
            <w:pPr>
              <w:pStyle w:val="TableContents"/>
              <w:bidi w:val="0"/>
              <w:spacing w:before="0" w:after="283"/>
              <w:jc w:val="left"/>
              <w:rPr/>
            </w:pPr>
            <w:r>
              <w:rPr/>
              <w:t>Treats proactivity as a request that remains bounded by qualification and TAK constraints</w:t>
            </w:r>
          </w:p>
        </w:tc>
      </w:tr>
      <w:tr>
        <w:trPr/>
        <w:tc>
          <w:tcPr>
            <w:tcW w:w="3419" w:type="dxa"/>
            <w:tcBorders/>
            <w:vAlign w:val="center"/>
          </w:tcPr>
          <w:p>
            <w:pPr>
              <w:pStyle w:val="TableContents"/>
              <w:bidi w:val="0"/>
              <w:spacing w:before="0" w:after="283"/>
              <w:jc w:val="left"/>
              <w:rPr/>
            </w:pPr>
            <w:r>
              <w:rPr/>
              <w:t>Cost/quality/time posture</w:t>
            </w:r>
          </w:p>
        </w:tc>
        <w:tc>
          <w:tcPr>
            <w:tcW w:w="3002" w:type="dxa"/>
            <w:tcBorders/>
            <w:vAlign w:val="center"/>
          </w:tcPr>
          <w:p>
            <w:pPr>
              <w:pStyle w:val="TableContents"/>
              <w:bidi w:val="0"/>
              <w:spacing w:before="0" w:after="283"/>
              <w:jc w:val="left"/>
              <w:rPr/>
            </w:pPr>
            <w:r>
              <w:rPr/>
              <w:t>Golden Triangle or equivalent</w:t>
            </w:r>
          </w:p>
        </w:tc>
        <w:tc>
          <w:tcPr>
            <w:tcW w:w="13045" w:type="dxa"/>
            <w:tcBorders/>
            <w:vAlign w:val="center"/>
          </w:tcPr>
          <w:p>
            <w:pPr>
              <w:pStyle w:val="TableContents"/>
              <w:bidi w:val="0"/>
              <w:spacing w:before="0" w:after="283"/>
              <w:jc w:val="left"/>
              <w:rPr/>
            </w:pPr>
            <w:r>
              <w:rPr/>
              <w:t>Uses the compiled effort and assurance envelope during evaluation or execution; does not treat resource spend as proof of competence</w:t>
            </w:r>
          </w:p>
        </w:tc>
      </w:tr>
      <w:tr>
        <w:trPr/>
        <w:tc>
          <w:tcPr>
            <w:tcW w:w="3419" w:type="dxa"/>
            <w:tcBorders/>
            <w:vAlign w:val="center"/>
          </w:tcPr>
          <w:p>
            <w:pPr>
              <w:pStyle w:val="TableContents"/>
              <w:bidi w:val="0"/>
              <w:spacing w:before="0" w:after="283"/>
              <w:jc w:val="left"/>
              <w:rPr/>
            </w:pPr>
            <w:r>
              <w:rPr/>
              <w:t>Model/provider selection</w:t>
            </w:r>
          </w:p>
        </w:tc>
        <w:tc>
          <w:tcPr>
            <w:tcW w:w="3002" w:type="dxa"/>
            <w:tcBorders/>
            <w:vAlign w:val="center"/>
          </w:tcPr>
          <w:p>
            <w:pPr>
              <w:pStyle w:val="TableContents"/>
              <w:bidi w:val="0"/>
              <w:spacing w:before="0" w:after="283"/>
              <w:jc w:val="left"/>
              <w:rPr/>
            </w:pPr>
            <w:r>
              <w:rPr/>
              <w:t>Runtime router</w:t>
            </w:r>
          </w:p>
        </w:tc>
        <w:tc>
          <w:tcPr>
            <w:tcW w:w="13045" w:type="dxa"/>
            <w:tcBorders/>
            <w:vAlign w:val="center"/>
          </w:tcPr>
          <w:p>
            <w:pPr>
              <w:pStyle w:val="TableContents"/>
              <w:bidi w:val="0"/>
              <w:spacing w:before="0" w:after="283"/>
              <w:jc w:val="left"/>
              <w:rPr/>
            </w:pPr>
            <w:r>
              <w:rPr/>
              <w:t>Defines job-fit and data eligibility requirements; does not hard-code vendor flags</w:t>
            </w:r>
          </w:p>
        </w:tc>
      </w:tr>
      <w:tr>
        <w:trPr/>
        <w:tc>
          <w:tcPr>
            <w:tcW w:w="3419" w:type="dxa"/>
            <w:tcBorders/>
            <w:vAlign w:val="center"/>
          </w:tcPr>
          <w:p>
            <w:pPr>
              <w:pStyle w:val="TableContents"/>
              <w:bidi w:val="0"/>
              <w:spacing w:before="0" w:after="283"/>
              <w:jc w:val="left"/>
              <w:rPr/>
            </w:pPr>
            <w:r>
              <w:rPr/>
              <w:t>Data quality and handling</w:t>
            </w:r>
          </w:p>
        </w:tc>
        <w:tc>
          <w:tcPr>
            <w:tcW w:w="3002" w:type="dxa"/>
            <w:tcBorders/>
            <w:vAlign w:val="center"/>
          </w:tcPr>
          <w:p>
            <w:pPr>
              <w:pStyle w:val="TableContents"/>
              <w:bidi w:val="0"/>
              <w:spacing w:before="0" w:after="283"/>
              <w:jc w:val="left"/>
              <w:rPr/>
            </w:pPr>
            <w:r>
              <w:rPr/>
              <w:t>Data governance</w:t>
            </w:r>
          </w:p>
        </w:tc>
        <w:tc>
          <w:tcPr>
            <w:tcW w:w="13045" w:type="dxa"/>
            <w:tcBorders/>
            <w:vAlign w:val="center"/>
          </w:tcPr>
          <w:p>
            <w:pPr>
              <w:pStyle w:val="TableContents"/>
              <w:bidi w:val="0"/>
              <w:spacing w:before="0" w:after="283"/>
              <w:jc w:val="left"/>
              <w:rPr/>
            </w:pPr>
            <w:r>
              <w:rPr/>
              <w:t>Requires stewarded data constraints and evidence within the qualification scheme</w:t>
            </w:r>
          </w:p>
        </w:tc>
      </w:tr>
    </w:tbl>
    <w:p>
      <w:pPr>
        <w:pStyle w:val="Heading3"/>
        <w:bidi w:val="0"/>
        <w:jc w:val="left"/>
        <w:rPr/>
      </w:pPr>
      <w:r>
        <w:rPr/>
        <w:t>6.1 Proactivity is not autonomy</w:t>
      </w:r>
    </w:p>
    <w:p>
      <w:pPr>
        <w:pStyle w:val="BodyText"/>
        <w:bidi w:val="0"/>
        <w:jc w:val="left"/>
        <w:rPr/>
      </w:pPr>
      <w:r>
        <w:rPr/>
        <w:t xml:space="preserve">A proactivity setting </w:t>
      </w:r>
      <w:r>
        <w:rPr>
          <w:rStyle w:val="SourceText"/>
        </w:rPr>
        <w:t>MAY</w:t>
      </w:r>
      <w:r>
        <w:rPr/>
        <w:t xml:space="preserve"> request that an agent:</w:t>
      </w:r>
    </w:p>
    <w:p>
      <w:pPr>
        <w:pStyle w:val="BodyText"/>
        <w:numPr>
          <w:ilvl w:val="0"/>
          <w:numId w:val="9"/>
        </w:numPr>
        <w:tabs>
          <w:tab w:val="clear" w:pos="1134"/>
          <w:tab w:val="left" w:pos="709" w:leader="none"/>
        </w:tabs>
        <w:bidi w:val="0"/>
        <w:spacing w:before="0" w:after="0"/>
        <w:ind w:hanging="283" w:left="709"/>
        <w:jc w:val="left"/>
        <w:rPr/>
      </w:pPr>
      <w:r>
        <w:rPr/>
        <w:t xml:space="preserve">wait for a prompt </w:t>
      </w:r>
    </w:p>
    <w:p>
      <w:pPr>
        <w:pStyle w:val="BodyText"/>
        <w:numPr>
          <w:ilvl w:val="0"/>
          <w:numId w:val="9"/>
        </w:numPr>
        <w:tabs>
          <w:tab w:val="clear" w:pos="1134"/>
          <w:tab w:val="left" w:pos="709" w:leader="none"/>
        </w:tabs>
        <w:bidi w:val="0"/>
        <w:spacing w:before="0" w:after="0"/>
        <w:ind w:hanging="283" w:left="709"/>
        <w:jc w:val="left"/>
        <w:rPr/>
      </w:pPr>
      <w:r>
        <w:rPr/>
        <w:t xml:space="preserve">suggest work </w:t>
      </w:r>
    </w:p>
    <w:p>
      <w:pPr>
        <w:pStyle w:val="BodyText"/>
        <w:numPr>
          <w:ilvl w:val="0"/>
          <w:numId w:val="9"/>
        </w:numPr>
        <w:tabs>
          <w:tab w:val="clear" w:pos="1134"/>
          <w:tab w:val="left" w:pos="709" w:leader="none"/>
        </w:tabs>
        <w:bidi w:val="0"/>
        <w:spacing w:before="0" w:after="0"/>
        <w:ind w:hanging="283" w:left="709"/>
        <w:jc w:val="left"/>
        <w:rPr/>
      </w:pPr>
      <w:r>
        <w:rPr/>
        <w:t xml:space="preserve">prepare a proposal </w:t>
      </w:r>
    </w:p>
    <w:p>
      <w:pPr>
        <w:pStyle w:val="BodyText"/>
        <w:numPr>
          <w:ilvl w:val="0"/>
          <w:numId w:val="9"/>
        </w:numPr>
        <w:tabs>
          <w:tab w:val="clear" w:pos="1134"/>
          <w:tab w:val="left" w:pos="709" w:leader="none"/>
        </w:tabs>
        <w:bidi w:val="0"/>
        <w:spacing w:before="0" w:after="0"/>
        <w:ind w:hanging="283" w:left="709"/>
        <w:jc w:val="left"/>
        <w:rPr/>
      </w:pPr>
      <w:r>
        <w:rPr/>
        <w:t xml:space="preserve">continue routine work within a boundary </w:t>
      </w:r>
    </w:p>
    <w:p>
      <w:pPr>
        <w:pStyle w:val="BodyText"/>
        <w:numPr>
          <w:ilvl w:val="0"/>
          <w:numId w:val="9"/>
        </w:numPr>
        <w:tabs>
          <w:tab w:val="clear" w:pos="1134"/>
          <w:tab w:val="left" w:pos="709" w:leader="none"/>
        </w:tabs>
        <w:bidi w:val="0"/>
        <w:ind w:hanging="283" w:left="709"/>
        <w:jc w:val="left"/>
        <w:rPr/>
      </w:pPr>
      <w:r>
        <w:rPr/>
        <w:t xml:space="preserve">initiate bounded work when a trigger occurs </w:t>
      </w:r>
    </w:p>
    <w:p>
      <w:pPr>
        <w:pStyle w:val="BodyText"/>
        <w:bidi w:val="0"/>
        <w:jc w:val="left"/>
        <w:rPr/>
      </w:pPr>
      <w:r>
        <w:rPr/>
        <w:t xml:space="preserve">The setting </w:t>
      </w:r>
      <w:r>
        <w:rPr>
          <w:rStyle w:val="SourceText"/>
        </w:rPr>
        <w:t>MUST NOT</w:t>
      </w:r>
      <w:r>
        <w:rPr/>
        <w:t>:</w:t>
      </w:r>
    </w:p>
    <w:p>
      <w:pPr>
        <w:pStyle w:val="BodyText"/>
        <w:numPr>
          <w:ilvl w:val="0"/>
          <w:numId w:val="10"/>
        </w:numPr>
        <w:tabs>
          <w:tab w:val="clear" w:pos="1134"/>
          <w:tab w:val="left" w:pos="709" w:leader="none"/>
        </w:tabs>
        <w:bidi w:val="0"/>
        <w:spacing w:before="0" w:after="0"/>
        <w:ind w:hanging="283" w:left="709"/>
        <w:jc w:val="left"/>
        <w:rPr/>
      </w:pPr>
      <w:r>
        <w:rPr/>
        <w:t xml:space="preserve">widen the principal's authority </w:t>
      </w:r>
    </w:p>
    <w:p>
      <w:pPr>
        <w:pStyle w:val="BodyText"/>
        <w:numPr>
          <w:ilvl w:val="0"/>
          <w:numId w:val="10"/>
        </w:numPr>
        <w:tabs>
          <w:tab w:val="clear" w:pos="1134"/>
          <w:tab w:val="left" w:pos="709" w:leader="none"/>
        </w:tabs>
        <w:bidi w:val="0"/>
        <w:spacing w:before="0" w:after="0"/>
        <w:ind w:hanging="283" w:left="709"/>
        <w:jc w:val="left"/>
        <w:rPr/>
      </w:pPr>
      <w:r>
        <w:rPr/>
        <w:t xml:space="preserve">create a capability or qualification </w:t>
      </w:r>
    </w:p>
    <w:p>
      <w:pPr>
        <w:pStyle w:val="BodyText"/>
        <w:numPr>
          <w:ilvl w:val="0"/>
          <w:numId w:val="10"/>
        </w:numPr>
        <w:tabs>
          <w:tab w:val="clear" w:pos="1134"/>
          <w:tab w:val="left" w:pos="709" w:leader="none"/>
        </w:tabs>
        <w:bidi w:val="0"/>
        <w:spacing w:before="0" w:after="0"/>
        <w:ind w:hanging="283" w:left="709"/>
        <w:jc w:val="left"/>
        <w:rPr/>
      </w:pPr>
      <w:r>
        <w:rPr/>
        <w:t xml:space="preserve">bypass a </w:t>
      </w:r>
      <w:r>
        <w:rPr>
          <w:rStyle w:val="SourceText"/>
        </w:rPr>
        <w:t>TAK</w:t>
      </w:r>
      <w:r>
        <w:rPr/>
        <w:t xml:space="preserve"> approval requirement </w:t>
      </w:r>
    </w:p>
    <w:p>
      <w:pPr>
        <w:pStyle w:val="BodyText"/>
        <w:numPr>
          <w:ilvl w:val="0"/>
          <w:numId w:val="10"/>
        </w:numPr>
        <w:tabs>
          <w:tab w:val="clear" w:pos="1134"/>
          <w:tab w:val="left" w:pos="709" w:leader="none"/>
        </w:tabs>
        <w:bidi w:val="0"/>
        <w:spacing w:before="0" w:after="0"/>
        <w:ind w:hanging="283" w:left="709"/>
        <w:jc w:val="left"/>
        <w:rPr/>
      </w:pPr>
      <w:r>
        <w:rPr/>
        <w:t xml:space="preserve">exceed a regulatory, contractual, jurisdictional, or data-handling ceiling </w:t>
      </w:r>
    </w:p>
    <w:p>
      <w:pPr>
        <w:pStyle w:val="BodyText"/>
        <w:numPr>
          <w:ilvl w:val="0"/>
          <w:numId w:val="10"/>
        </w:numPr>
        <w:tabs>
          <w:tab w:val="clear" w:pos="1134"/>
          <w:tab w:val="left" w:pos="709" w:leader="none"/>
        </w:tabs>
        <w:bidi w:val="0"/>
        <w:ind w:hanging="283" w:left="709"/>
        <w:jc w:val="left"/>
        <w:rPr/>
      </w:pPr>
      <w:r>
        <w:rPr/>
        <w:t xml:space="preserve">exceed the qualification's activity or risk scope </w:t>
      </w:r>
    </w:p>
    <w:p>
      <w:pPr>
        <w:pStyle w:val="Heading3"/>
        <w:bidi w:val="0"/>
        <w:jc w:val="left"/>
        <w:rPr/>
      </w:pPr>
      <w:r>
        <w:rPr/>
        <w:t>6.2 The Golden Triangle is not a qualification score</w:t>
      </w:r>
    </w:p>
    <w:p>
      <w:pPr>
        <w:pStyle w:val="BodyText"/>
        <w:bidi w:val="0"/>
        <w:jc w:val="left"/>
        <w:rPr/>
      </w:pPr>
      <w:r>
        <w:rPr/>
        <w:t xml:space="preserve">A cost/quality/time posture </w:t>
      </w:r>
      <w:r>
        <w:rPr>
          <w:rStyle w:val="SourceText"/>
        </w:rPr>
        <w:t>MAY</w:t>
      </w:r>
      <w:r>
        <w:rPr/>
        <w:t xml:space="preserve"> change:</w:t>
      </w:r>
    </w:p>
    <w:p>
      <w:pPr>
        <w:pStyle w:val="BodyText"/>
        <w:numPr>
          <w:ilvl w:val="0"/>
          <w:numId w:val="11"/>
        </w:numPr>
        <w:tabs>
          <w:tab w:val="clear" w:pos="1134"/>
          <w:tab w:val="left" w:pos="709" w:leader="none"/>
        </w:tabs>
        <w:bidi w:val="0"/>
        <w:spacing w:before="0" w:after="0"/>
        <w:ind w:hanging="283" w:left="709"/>
        <w:jc w:val="left"/>
        <w:rPr/>
      </w:pPr>
      <w:r>
        <w:rPr/>
        <w:t xml:space="preserve">eligible model tier </w:t>
      </w:r>
    </w:p>
    <w:p>
      <w:pPr>
        <w:pStyle w:val="BodyText"/>
        <w:numPr>
          <w:ilvl w:val="0"/>
          <w:numId w:val="11"/>
        </w:numPr>
        <w:tabs>
          <w:tab w:val="clear" w:pos="1134"/>
          <w:tab w:val="left" w:pos="709" w:leader="none"/>
        </w:tabs>
        <w:bidi w:val="0"/>
        <w:spacing w:before="0" w:after="0"/>
        <w:ind w:hanging="283" w:left="709"/>
        <w:jc w:val="left"/>
        <w:rPr/>
      </w:pPr>
      <w:r>
        <w:rPr/>
        <w:t xml:space="preserve">reasoning or inference effort </w:t>
      </w:r>
    </w:p>
    <w:p>
      <w:pPr>
        <w:pStyle w:val="BodyText"/>
        <w:numPr>
          <w:ilvl w:val="0"/>
          <w:numId w:val="11"/>
        </w:numPr>
        <w:tabs>
          <w:tab w:val="clear" w:pos="1134"/>
          <w:tab w:val="left" w:pos="709" w:leader="none"/>
        </w:tabs>
        <w:bidi w:val="0"/>
        <w:spacing w:before="0" w:after="0"/>
        <w:ind w:hanging="283" w:left="709"/>
        <w:jc w:val="left"/>
        <w:rPr/>
      </w:pPr>
      <w:r>
        <w:rPr/>
        <w:t xml:space="preserve">context and loop budget </w:t>
      </w:r>
    </w:p>
    <w:p>
      <w:pPr>
        <w:pStyle w:val="BodyText"/>
        <w:numPr>
          <w:ilvl w:val="0"/>
          <w:numId w:val="11"/>
        </w:numPr>
        <w:tabs>
          <w:tab w:val="clear" w:pos="1134"/>
          <w:tab w:val="left" w:pos="709" w:leader="none"/>
        </w:tabs>
        <w:bidi w:val="0"/>
        <w:spacing w:before="0" w:after="0"/>
        <w:ind w:hanging="283" w:left="709"/>
        <w:jc w:val="left"/>
        <w:rPr/>
      </w:pPr>
      <w:r>
        <w:rPr/>
        <w:t xml:space="preserve">review and verification depth </w:t>
      </w:r>
    </w:p>
    <w:p>
      <w:pPr>
        <w:pStyle w:val="BodyText"/>
        <w:numPr>
          <w:ilvl w:val="0"/>
          <w:numId w:val="11"/>
        </w:numPr>
        <w:tabs>
          <w:tab w:val="clear" w:pos="1134"/>
          <w:tab w:val="left" w:pos="709" w:leader="none"/>
        </w:tabs>
        <w:bidi w:val="0"/>
        <w:ind w:hanging="283" w:left="709"/>
        <w:jc w:val="left"/>
        <w:rPr/>
      </w:pPr>
      <w:r>
        <w:rPr/>
        <w:t xml:space="preserve">retry and fallback posture </w:t>
      </w:r>
    </w:p>
    <w:p>
      <w:pPr>
        <w:pStyle w:val="BodyText"/>
        <w:bidi w:val="0"/>
        <w:jc w:val="left"/>
        <w:rPr/>
      </w:pPr>
      <w:r>
        <w:rPr/>
        <w:t xml:space="preserve">It </w:t>
      </w:r>
      <w:r>
        <w:rPr>
          <w:rStyle w:val="SourceText"/>
        </w:rPr>
        <w:t>MUST NOT</w:t>
      </w:r>
      <w:r>
        <w:rPr/>
        <w:t>:</w:t>
      </w:r>
    </w:p>
    <w:p>
      <w:pPr>
        <w:pStyle w:val="BodyText"/>
        <w:numPr>
          <w:ilvl w:val="0"/>
          <w:numId w:val="12"/>
        </w:numPr>
        <w:tabs>
          <w:tab w:val="clear" w:pos="1134"/>
          <w:tab w:val="left" w:pos="709" w:leader="none"/>
        </w:tabs>
        <w:bidi w:val="0"/>
        <w:spacing w:before="0" w:after="0"/>
        <w:ind w:hanging="283" w:left="709"/>
        <w:jc w:val="left"/>
        <w:rPr/>
      </w:pPr>
      <w:r>
        <w:rPr/>
        <w:t xml:space="preserve">make an ineligible model eligible for restricted data </w:t>
      </w:r>
    </w:p>
    <w:p>
      <w:pPr>
        <w:pStyle w:val="BodyText"/>
        <w:numPr>
          <w:ilvl w:val="0"/>
          <w:numId w:val="12"/>
        </w:numPr>
        <w:tabs>
          <w:tab w:val="clear" w:pos="1134"/>
          <w:tab w:val="left" w:pos="709" w:leader="none"/>
        </w:tabs>
        <w:bidi w:val="0"/>
        <w:spacing w:before="0" w:after="0"/>
        <w:ind w:hanging="283" w:left="709"/>
        <w:jc w:val="left"/>
        <w:rPr/>
      </w:pPr>
      <w:r>
        <w:rPr/>
        <w:t xml:space="preserve">convert an unqualified operating profile into a qualified one </w:t>
      </w:r>
    </w:p>
    <w:p>
      <w:pPr>
        <w:pStyle w:val="BodyText"/>
        <w:numPr>
          <w:ilvl w:val="0"/>
          <w:numId w:val="12"/>
        </w:numPr>
        <w:tabs>
          <w:tab w:val="clear" w:pos="1134"/>
          <w:tab w:val="left" w:pos="709" w:leader="none"/>
        </w:tabs>
        <w:bidi w:val="0"/>
        <w:spacing w:before="0" w:after="0"/>
        <w:ind w:hanging="283" w:left="709"/>
        <w:jc w:val="left"/>
        <w:rPr/>
      </w:pPr>
      <w:r>
        <w:rPr/>
        <w:t xml:space="preserve">substitute more tokens or retries for missing job knowledge </w:t>
      </w:r>
    </w:p>
    <w:p>
      <w:pPr>
        <w:pStyle w:val="BodyText"/>
        <w:numPr>
          <w:ilvl w:val="0"/>
          <w:numId w:val="12"/>
        </w:numPr>
        <w:tabs>
          <w:tab w:val="clear" w:pos="1134"/>
          <w:tab w:val="left" w:pos="709" w:leader="none"/>
        </w:tabs>
        <w:bidi w:val="0"/>
        <w:ind w:hanging="283" w:left="709"/>
        <w:jc w:val="left"/>
        <w:rPr/>
      </w:pPr>
      <w:r>
        <w:rPr/>
        <w:t xml:space="preserve">reduce a mandatory oversight or verification floor </w:t>
      </w:r>
    </w:p>
    <w:p>
      <w:pPr>
        <w:pStyle w:val="Heading2"/>
        <w:bidi w:val="0"/>
        <w:jc w:val="left"/>
        <w:rPr/>
      </w:pPr>
      <w:r>
        <w:rPr/>
        <w:t>7. Job Profile Requirements</w:t>
      </w:r>
    </w:p>
    <w:p>
      <w:pPr>
        <w:pStyle w:val="BodyText"/>
        <w:bidi w:val="0"/>
        <w:jc w:val="left"/>
        <w:rPr/>
      </w:pPr>
      <w:r>
        <w:rPr/>
        <w:t xml:space="preserve">Every </w:t>
      </w:r>
      <w:r>
        <w:rPr>
          <w:rStyle w:val="SourceText"/>
        </w:rPr>
        <w:t>TAK-JSI-Defined</w:t>
      </w:r>
      <w:r>
        <w:rPr/>
        <w:t xml:space="preserve"> job profile </w:t>
      </w:r>
      <w:r>
        <w:rPr>
          <w:rStyle w:val="SourceText"/>
        </w:rPr>
        <w:t>MUST</w:t>
      </w:r>
      <w:r>
        <w:rPr/>
        <w:t xml:space="preserve"> identify:</w:t>
      </w:r>
    </w:p>
    <w:p>
      <w:pPr>
        <w:pStyle w:val="BodyText"/>
        <w:numPr>
          <w:ilvl w:val="0"/>
          <w:numId w:val="13"/>
        </w:numPr>
        <w:tabs>
          <w:tab w:val="clear" w:pos="1134"/>
          <w:tab w:val="left" w:pos="709" w:leader="none"/>
        </w:tabs>
        <w:bidi w:val="0"/>
        <w:spacing w:before="0" w:after="0"/>
        <w:ind w:hanging="283" w:left="709"/>
        <w:jc w:val="left"/>
        <w:rPr/>
      </w:pPr>
      <w:r>
        <w:rPr/>
        <w:t xml:space="preserve">stable job-profile identifier and version </w:t>
      </w:r>
    </w:p>
    <w:p>
      <w:pPr>
        <w:pStyle w:val="BodyText"/>
        <w:numPr>
          <w:ilvl w:val="0"/>
          <w:numId w:val="13"/>
        </w:numPr>
        <w:tabs>
          <w:tab w:val="clear" w:pos="1134"/>
          <w:tab w:val="left" w:pos="709" w:leader="none"/>
        </w:tabs>
        <w:bidi w:val="0"/>
        <w:spacing w:before="0" w:after="0"/>
        <w:ind w:hanging="283" w:left="709"/>
        <w:jc w:val="left"/>
        <w:rPr/>
      </w:pPr>
      <w:r>
        <w:rPr/>
        <w:t xml:space="preserve">purpose and accountable owner </w:t>
      </w:r>
    </w:p>
    <w:p>
      <w:pPr>
        <w:pStyle w:val="BodyText"/>
        <w:numPr>
          <w:ilvl w:val="0"/>
          <w:numId w:val="13"/>
        </w:numPr>
        <w:tabs>
          <w:tab w:val="clear" w:pos="1134"/>
          <w:tab w:val="left" w:pos="709" w:leader="none"/>
        </w:tabs>
        <w:bidi w:val="0"/>
        <w:spacing w:before="0" w:after="0"/>
        <w:ind w:hanging="283" w:left="709"/>
        <w:jc w:val="left"/>
        <w:rPr/>
      </w:pPr>
      <w:r>
        <w:rPr/>
        <w:t xml:space="preserve">activities and expected outcomes </w:t>
      </w:r>
    </w:p>
    <w:p>
      <w:pPr>
        <w:pStyle w:val="BodyText"/>
        <w:numPr>
          <w:ilvl w:val="0"/>
          <w:numId w:val="13"/>
        </w:numPr>
        <w:tabs>
          <w:tab w:val="clear" w:pos="1134"/>
          <w:tab w:val="left" w:pos="709" w:leader="none"/>
        </w:tabs>
        <w:bidi w:val="0"/>
        <w:spacing w:before="0" w:after="0"/>
        <w:ind w:hanging="283" w:left="709"/>
        <w:jc w:val="left"/>
        <w:rPr/>
      </w:pPr>
      <w:r>
        <w:rPr/>
        <w:t xml:space="preserve">knowledge and skill/competence requirements </w:t>
      </w:r>
    </w:p>
    <w:p>
      <w:pPr>
        <w:pStyle w:val="BodyText"/>
        <w:numPr>
          <w:ilvl w:val="0"/>
          <w:numId w:val="13"/>
        </w:numPr>
        <w:tabs>
          <w:tab w:val="clear" w:pos="1134"/>
          <w:tab w:val="left" w:pos="709" w:leader="none"/>
        </w:tabs>
        <w:bidi w:val="0"/>
        <w:spacing w:before="0" w:after="0"/>
        <w:ind w:hanging="283" w:left="709"/>
        <w:jc w:val="left"/>
        <w:rPr/>
      </w:pPr>
      <w:r>
        <w:rPr/>
        <w:t xml:space="preserve">applicable profession corpus and decision-axis versions </w:t>
      </w:r>
    </w:p>
    <w:p>
      <w:pPr>
        <w:pStyle w:val="BodyText"/>
        <w:numPr>
          <w:ilvl w:val="0"/>
          <w:numId w:val="13"/>
        </w:numPr>
        <w:tabs>
          <w:tab w:val="clear" w:pos="1134"/>
          <w:tab w:val="left" w:pos="709" w:leader="none"/>
        </w:tabs>
        <w:bidi w:val="0"/>
        <w:spacing w:before="0" w:after="0"/>
        <w:ind w:hanging="283" w:left="709"/>
        <w:jc w:val="left"/>
        <w:rPr/>
      </w:pPr>
      <w:r>
        <w:rPr/>
        <w:t xml:space="preserve">tool and connector requirements </w:t>
      </w:r>
    </w:p>
    <w:p>
      <w:pPr>
        <w:pStyle w:val="BodyText"/>
        <w:numPr>
          <w:ilvl w:val="0"/>
          <w:numId w:val="13"/>
        </w:numPr>
        <w:tabs>
          <w:tab w:val="clear" w:pos="1134"/>
          <w:tab w:val="left" w:pos="709" w:leader="none"/>
        </w:tabs>
        <w:bidi w:val="0"/>
        <w:spacing w:before="0" w:after="0"/>
        <w:ind w:hanging="283" w:left="709"/>
        <w:jc w:val="left"/>
        <w:rPr/>
      </w:pPr>
      <w:r>
        <w:rPr/>
        <w:t xml:space="preserve">local authorization classes and prohibited actions </w:t>
      </w:r>
    </w:p>
    <w:p>
      <w:pPr>
        <w:pStyle w:val="BodyText"/>
        <w:numPr>
          <w:ilvl w:val="0"/>
          <w:numId w:val="13"/>
        </w:numPr>
        <w:tabs>
          <w:tab w:val="clear" w:pos="1134"/>
          <w:tab w:val="left" w:pos="709" w:leader="none"/>
        </w:tabs>
        <w:bidi w:val="0"/>
        <w:spacing w:before="0" w:after="0"/>
        <w:ind w:hanging="283" w:left="709"/>
        <w:jc w:val="left"/>
        <w:rPr/>
      </w:pPr>
      <w:r>
        <w:rPr/>
        <w:t xml:space="preserve">data domains, classifications, residency, retention, and permitted-use constraints </w:t>
      </w:r>
    </w:p>
    <w:p>
      <w:pPr>
        <w:pStyle w:val="BodyText"/>
        <w:numPr>
          <w:ilvl w:val="0"/>
          <w:numId w:val="13"/>
        </w:numPr>
        <w:tabs>
          <w:tab w:val="clear" w:pos="1134"/>
          <w:tab w:val="left" w:pos="709" w:leader="none"/>
        </w:tabs>
        <w:bidi w:val="0"/>
        <w:spacing w:before="0" w:after="0"/>
        <w:ind w:hanging="283" w:left="709"/>
        <w:jc w:val="left"/>
        <w:rPr/>
      </w:pPr>
      <w:r>
        <w:rPr/>
        <w:t xml:space="preserve">workflow, archetype, jurisdiction, and regulatory context </w:t>
      </w:r>
    </w:p>
    <w:p>
      <w:pPr>
        <w:pStyle w:val="BodyText"/>
        <w:numPr>
          <w:ilvl w:val="0"/>
          <w:numId w:val="13"/>
        </w:numPr>
        <w:tabs>
          <w:tab w:val="clear" w:pos="1134"/>
          <w:tab w:val="left" w:pos="709" w:leader="none"/>
        </w:tabs>
        <w:bidi w:val="0"/>
        <w:spacing w:before="0" w:after="0"/>
        <w:ind w:hanging="283" w:left="709"/>
        <w:jc w:val="left"/>
        <w:rPr/>
      </w:pPr>
      <w:r>
        <w:rPr/>
        <w:t xml:space="preserve">required human roles and oversight boundaries </w:t>
      </w:r>
    </w:p>
    <w:p>
      <w:pPr>
        <w:pStyle w:val="BodyText"/>
        <w:numPr>
          <w:ilvl w:val="0"/>
          <w:numId w:val="13"/>
        </w:numPr>
        <w:tabs>
          <w:tab w:val="clear" w:pos="1134"/>
          <w:tab w:val="left" w:pos="709" w:leader="none"/>
        </w:tabs>
        <w:bidi w:val="0"/>
        <w:spacing w:before="0" w:after="0"/>
        <w:ind w:hanging="283" w:left="709"/>
        <w:jc w:val="left"/>
        <w:rPr/>
      </w:pPr>
      <w:r>
        <w:rPr/>
        <w:t xml:space="preserve">expected evidence and acceptance criteria </w:t>
      </w:r>
    </w:p>
    <w:p>
      <w:pPr>
        <w:pStyle w:val="BodyText"/>
        <w:numPr>
          <w:ilvl w:val="0"/>
          <w:numId w:val="13"/>
        </w:numPr>
        <w:tabs>
          <w:tab w:val="clear" w:pos="1134"/>
          <w:tab w:val="left" w:pos="709" w:leader="none"/>
        </w:tabs>
        <w:bidi w:val="0"/>
        <w:spacing w:before="0" w:after="0"/>
        <w:ind w:hanging="283" w:left="709"/>
        <w:jc w:val="left"/>
        <w:rPr/>
      </w:pPr>
      <w:r>
        <w:rPr/>
        <w:t xml:space="preserve">known exclusions and unsupported use </w:t>
      </w:r>
    </w:p>
    <w:p>
      <w:pPr>
        <w:pStyle w:val="BodyText"/>
        <w:numPr>
          <w:ilvl w:val="0"/>
          <w:numId w:val="13"/>
        </w:numPr>
        <w:tabs>
          <w:tab w:val="clear" w:pos="1134"/>
          <w:tab w:val="left" w:pos="709" w:leader="none"/>
        </w:tabs>
        <w:bidi w:val="0"/>
        <w:spacing w:before="0" w:after="0"/>
        <w:ind w:hanging="283" w:left="709"/>
        <w:jc w:val="left"/>
        <w:rPr/>
      </w:pPr>
      <w:r>
        <w:rPr/>
        <w:t xml:space="preserve">material-change triggers </w:t>
      </w:r>
    </w:p>
    <w:p>
      <w:pPr>
        <w:pStyle w:val="BodyText"/>
        <w:numPr>
          <w:ilvl w:val="0"/>
          <w:numId w:val="13"/>
        </w:numPr>
        <w:tabs>
          <w:tab w:val="clear" w:pos="1134"/>
          <w:tab w:val="left" w:pos="709" w:leader="none"/>
        </w:tabs>
        <w:bidi w:val="0"/>
        <w:ind w:hanging="283" w:left="709"/>
        <w:jc w:val="left"/>
        <w:rPr/>
      </w:pPr>
      <w:r>
        <w:rPr/>
        <w:t xml:space="preserve">surveillance, expiry, and revalidation policy </w:t>
      </w:r>
    </w:p>
    <w:p>
      <w:pPr>
        <w:pStyle w:val="Heading3"/>
        <w:bidi w:val="0"/>
        <w:jc w:val="left"/>
        <w:rPr/>
      </w:pPr>
      <w:r>
        <w:rPr/>
        <w:t>7.1 Activity decomposition</w:t>
      </w:r>
    </w:p>
    <w:p>
      <w:pPr>
        <w:pStyle w:val="BodyText"/>
        <w:bidi w:val="0"/>
        <w:jc w:val="left"/>
        <w:rPr/>
      </w:pPr>
      <w:r>
        <w:rPr/>
        <w:t xml:space="preserve">A job profile </w:t>
      </w:r>
      <w:r>
        <w:rPr>
          <w:rStyle w:val="SourceText"/>
        </w:rPr>
        <w:t>SHOULD</w:t>
      </w:r>
      <w:r>
        <w:rPr/>
        <w:t xml:space="preserve"> separate activities when they differ materially in:</w:t>
      </w:r>
    </w:p>
    <w:p>
      <w:pPr>
        <w:pStyle w:val="BodyText"/>
        <w:numPr>
          <w:ilvl w:val="0"/>
          <w:numId w:val="14"/>
        </w:numPr>
        <w:tabs>
          <w:tab w:val="clear" w:pos="1134"/>
          <w:tab w:val="left" w:pos="709" w:leader="none"/>
        </w:tabs>
        <w:bidi w:val="0"/>
        <w:spacing w:before="0" w:after="0"/>
        <w:ind w:hanging="283" w:left="709"/>
        <w:jc w:val="left"/>
        <w:rPr/>
      </w:pPr>
      <w:r>
        <w:rPr/>
        <w:t xml:space="preserve">authority </w:t>
      </w:r>
    </w:p>
    <w:p>
      <w:pPr>
        <w:pStyle w:val="BodyText"/>
        <w:numPr>
          <w:ilvl w:val="0"/>
          <w:numId w:val="14"/>
        </w:numPr>
        <w:tabs>
          <w:tab w:val="clear" w:pos="1134"/>
          <w:tab w:val="left" w:pos="709" w:leader="none"/>
        </w:tabs>
        <w:bidi w:val="0"/>
        <w:spacing w:before="0" w:after="0"/>
        <w:ind w:hanging="283" w:left="709"/>
        <w:jc w:val="left"/>
        <w:rPr/>
      </w:pPr>
      <w:r>
        <w:rPr/>
        <w:t xml:space="preserve">tools </w:t>
      </w:r>
    </w:p>
    <w:p>
      <w:pPr>
        <w:pStyle w:val="BodyText"/>
        <w:numPr>
          <w:ilvl w:val="0"/>
          <w:numId w:val="14"/>
        </w:numPr>
        <w:tabs>
          <w:tab w:val="clear" w:pos="1134"/>
          <w:tab w:val="left" w:pos="709" w:leader="none"/>
        </w:tabs>
        <w:bidi w:val="0"/>
        <w:spacing w:before="0" w:after="0"/>
        <w:ind w:hanging="283" w:left="709"/>
        <w:jc w:val="left"/>
        <w:rPr/>
      </w:pPr>
      <w:r>
        <w:rPr/>
        <w:t xml:space="preserve">data sensitivity </w:t>
      </w:r>
    </w:p>
    <w:p>
      <w:pPr>
        <w:pStyle w:val="BodyText"/>
        <w:numPr>
          <w:ilvl w:val="0"/>
          <w:numId w:val="14"/>
        </w:numPr>
        <w:tabs>
          <w:tab w:val="clear" w:pos="1134"/>
          <w:tab w:val="left" w:pos="709" w:leader="none"/>
        </w:tabs>
        <w:bidi w:val="0"/>
        <w:spacing w:before="0" w:after="0"/>
        <w:ind w:hanging="283" w:left="709"/>
        <w:jc w:val="left"/>
        <w:rPr/>
      </w:pPr>
      <w:r>
        <w:rPr/>
        <w:t xml:space="preserve">consequence or reversibility </w:t>
      </w:r>
    </w:p>
    <w:p>
      <w:pPr>
        <w:pStyle w:val="BodyText"/>
        <w:numPr>
          <w:ilvl w:val="0"/>
          <w:numId w:val="14"/>
        </w:numPr>
        <w:tabs>
          <w:tab w:val="clear" w:pos="1134"/>
          <w:tab w:val="left" w:pos="709" w:leader="none"/>
        </w:tabs>
        <w:bidi w:val="0"/>
        <w:spacing w:before="0" w:after="0"/>
        <w:ind w:hanging="283" w:left="709"/>
        <w:jc w:val="left"/>
        <w:rPr/>
      </w:pPr>
      <w:r>
        <w:rPr/>
        <w:t xml:space="preserve">required knowledge </w:t>
      </w:r>
    </w:p>
    <w:p>
      <w:pPr>
        <w:pStyle w:val="BodyText"/>
        <w:numPr>
          <w:ilvl w:val="0"/>
          <w:numId w:val="14"/>
        </w:numPr>
        <w:tabs>
          <w:tab w:val="clear" w:pos="1134"/>
          <w:tab w:val="left" w:pos="709" w:leader="none"/>
        </w:tabs>
        <w:bidi w:val="0"/>
        <w:spacing w:before="0" w:after="0"/>
        <w:ind w:hanging="283" w:left="709"/>
        <w:jc w:val="left"/>
        <w:rPr/>
      </w:pPr>
      <w:r>
        <w:rPr/>
        <w:t xml:space="preserve">evaluation method </w:t>
      </w:r>
    </w:p>
    <w:p>
      <w:pPr>
        <w:pStyle w:val="BodyText"/>
        <w:numPr>
          <w:ilvl w:val="0"/>
          <w:numId w:val="14"/>
        </w:numPr>
        <w:tabs>
          <w:tab w:val="clear" w:pos="1134"/>
          <w:tab w:val="left" w:pos="709" w:leader="none"/>
        </w:tabs>
        <w:bidi w:val="0"/>
        <w:ind w:hanging="283" w:left="709"/>
        <w:jc w:val="left"/>
        <w:rPr/>
      </w:pPr>
      <w:r>
        <w:rPr/>
        <w:t xml:space="preserve">autonomy ceiling </w:t>
      </w:r>
    </w:p>
    <w:p>
      <w:pPr>
        <w:pStyle w:val="BodyText"/>
        <w:bidi w:val="0"/>
        <w:jc w:val="left"/>
        <w:rPr/>
      </w:pPr>
      <w:r>
        <w:rPr/>
        <w:t xml:space="preserve">An agent qualified to summarize a legal document, for example, </w:t>
      </w:r>
      <w:r>
        <w:rPr>
          <w:rStyle w:val="SourceText"/>
        </w:rPr>
        <w:t>MUST NOT</w:t>
      </w:r>
      <w:r>
        <w:rPr/>
        <w:t xml:space="preserve"> be implied to be qualified to provide legal advice, approve a filing, or make a jurisdictional determination.</w:t>
      </w:r>
    </w:p>
    <w:p>
      <w:pPr>
        <w:pStyle w:val="Heading3"/>
        <w:bidi w:val="0"/>
        <w:jc w:val="left"/>
        <w:rPr/>
      </w:pPr>
      <w:r>
        <w:rPr/>
        <w:t>7.2 Job-taxonomy alignment</w:t>
      </w:r>
    </w:p>
    <w:p>
      <w:pPr>
        <w:pStyle w:val="BodyText"/>
        <w:bidi w:val="0"/>
        <w:jc w:val="left"/>
        <w:rPr/>
      </w:pPr>
      <w:r>
        <w:rPr/>
        <w:t xml:space="preserve">Where an authoritative job or skill taxonomy exists, a job profile </w:t>
      </w:r>
      <w:r>
        <w:rPr>
          <w:rStyle w:val="SourceText"/>
        </w:rPr>
        <w:t>SHOULD</w:t>
      </w:r>
      <w:r>
        <w:rPr/>
        <w:t xml:space="preserve"> reference stable occupation and skill identifiers rather than inventing ambiguous local labels. Local extensions </w:t>
      </w:r>
      <w:r>
        <w:rPr>
          <w:rStyle w:val="SourceText"/>
        </w:rPr>
        <w:t>MAY</w:t>
      </w:r>
      <w:r>
        <w:rPr/>
        <w:t xml:space="preserve"> add organization-specific activities and constraints, but </w:t>
      </w:r>
      <w:r>
        <w:rPr>
          <w:rStyle w:val="SourceText"/>
        </w:rPr>
        <w:t>MUST</w:t>
      </w:r>
      <w:r>
        <w:rPr/>
        <w:t xml:space="preserve"> preserve the referenced version and semantic boundary.</w:t>
      </w:r>
    </w:p>
    <w:p>
      <w:pPr>
        <w:pStyle w:val="Heading2"/>
        <w:bidi w:val="0"/>
        <w:jc w:val="left"/>
        <w:rPr/>
      </w:pPr>
      <w:r>
        <w:rPr/>
        <w:t>8. Intelligence Profile Composition</w:t>
      </w:r>
    </w:p>
    <w:p>
      <w:pPr>
        <w:pStyle w:val="BodyText"/>
        <w:bidi w:val="0"/>
        <w:jc w:val="left"/>
        <w:rPr/>
      </w:pPr>
      <w:r>
        <w:rPr/>
        <w:t xml:space="preserve">A qualification scheme </w:t>
      </w:r>
      <w:r>
        <w:rPr>
          <w:rStyle w:val="SourceText"/>
        </w:rPr>
        <w:t>MUST</w:t>
      </w:r>
      <w:r>
        <w:rPr/>
        <w:t xml:space="preserve"> assess the operational composition that performs the job, including:</w:t>
      </w:r>
    </w:p>
    <w:tbl>
      <w:tblPr>
        <w:tblW w:w="12952" w:type="dxa"/>
        <w:jc w:val="left"/>
        <w:tblInd w:w="0" w:type="dxa"/>
        <w:tblLayout w:type="fixed"/>
        <w:tblCellMar>
          <w:top w:w="28" w:type="dxa"/>
          <w:left w:w="28" w:type="dxa"/>
          <w:bottom w:w="28" w:type="dxa"/>
          <w:right w:w="28" w:type="dxa"/>
        </w:tblCellMar>
      </w:tblPr>
      <w:tblGrid>
        <w:gridCol w:w="2179"/>
        <w:gridCol w:w="10773"/>
      </w:tblGrid>
      <w:tr>
        <w:trPr>
          <w:tblHeader w:val="true"/>
        </w:trPr>
        <w:tc>
          <w:tcPr>
            <w:tcW w:w="2179" w:type="dxa"/>
            <w:tcBorders/>
            <w:vAlign w:val="center"/>
          </w:tcPr>
          <w:p>
            <w:pPr>
              <w:pStyle w:val="TableHeading"/>
              <w:suppressLineNumbers/>
              <w:bidi w:val="0"/>
              <w:spacing w:before="0" w:after="283"/>
              <w:jc w:val="center"/>
              <w:rPr/>
            </w:pPr>
            <w:r>
              <w:rPr/>
              <w:t>Dimension</w:t>
            </w:r>
          </w:p>
        </w:tc>
        <w:tc>
          <w:tcPr>
            <w:tcW w:w="10773" w:type="dxa"/>
            <w:tcBorders/>
            <w:vAlign w:val="center"/>
          </w:tcPr>
          <w:p>
            <w:pPr>
              <w:pStyle w:val="TableHeading"/>
              <w:suppressLineNumbers/>
              <w:bidi w:val="0"/>
              <w:spacing w:before="0" w:after="283"/>
              <w:jc w:val="center"/>
              <w:rPr/>
            </w:pPr>
            <w:r>
              <w:rPr/>
              <w:t>Minimum question</w:t>
            </w:r>
          </w:p>
        </w:tc>
      </w:tr>
      <w:tr>
        <w:trPr/>
        <w:tc>
          <w:tcPr>
            <w:tcW w:w="2179" w:type="dxa"/>
            <w:tcBorders/>
            <w:vAlign w:val="center"/>
          </w:tcPr>
          <w:p>
            <w:pPr>
              <w:pStyle w:val="TableContents"/>
              <w:bidi w:val="0"/>
              <w:spacing w:before="0" w:after="283"/>
              <w:jc w:val="left"/>
              <w:rPr/>
            </w:pPr>
            <w:r>
              <w:rPr/>
              <w:t>Knowledge</w:t>
            </w:r>
          </w:p>
        </w:tc>
        <w:tc>
          <w:tcPr>
            <w:tcW w:w="10773" w:type="dxa"/>
            <w:tcBorders/>
            <w:vAlign w:val="center"/>
          </w:tcPr>
          <w:p>
            <w:pPr>
              <w:pStyle w:val="TableContents"/>
              <w:bidi w:val="0"/>
              <w:spacing w:before="0" w:after="283"/>
              <w:jc w:val="left"/>
              <w:rPr/>
            </w:pPr>
            <w:r>
              <w:rPr/>
              <w:t>Does the subject retrieve and apply the required, current, authoritative corpus?</w:t>
            </w:r>
          </w:p>
        </w:tc>
      </w:tr>
      <w:tr>
        <w:trPr/>
        <w:tc>
          <w:tcPr>
            <w:tcW w:w="2179" w:type="dxa"/>
            <w:tcBorders/>
            <w:vAlign w:val="center"/>
          </w:tcPr>
          <w:p>
            <w:pPr>
              <w:pStyle w:val="TableContents"/>
              <w:bidi w:val="0"/>
              <w:spacing w:before="0" w:after="283"/>
              <w:jc w:val="left"/>
              <w:rPr/>
            </w:pPr>
            <w:r>
              <w:rPr/>
              <w:t>Judgment</w:t>
            </w:r>
          </w:p>
        </w:tc>
        <w:tc>
          <w:tcPr>
            <w:tcW w:w="10773" w:type="dxa"/>
            <w:tcBorders/>
            <w:vAlign w:val="center"/>
          </w:tcPr>
          <w:p>
            <w:pPr>
              <w:pStyle w:val="TableContents"/>
              <w:bidi w:val="0"/>
              <w:spacing w:before="0" w:after="283"/>
              <w:jc w:val="left"/>
              <w:rPr/>
            </w:pPr>
            <w:r>
              <w:rPr/>
              <w:t>Does it apply the job's decision axes, policies, and escalation rules consistently?</w:t>
            </w:r>
          </w:p>
        </w:tc>
      </w:tr>
      <w:tr>
        <w:trPr/>
        <w:tc>
          <w:tcPr>
            <w:tcW w:w="2179" w:type="dxa"/>
            <w:tcBorders/>
            <w:vAlign w:val="center"/>
          </w:tcPr>
          <w:p>
            <w:pPr>
              <w:pStyle w:val="TableContents"/>
              <w:bidi w:val="0"/>
              <w:spacing w:before="0" w:after="283"/>
              <w:jc w:val="left"/>
              <w:rPr/>
            </w:pPr>
            <w:r>
              <w:rPr/>
              <w:t>Tools</w:t>
            </w:r>
          </w:p>
        </w:tc>
        <w:tc>
          <w:tcPr>
            <w:tcW w:w="10773" w:type="dxa"/>
            <w:tcBorders/>
            <w:vAlign w:val="center"/>
          </w:tcPr>
          <w:p>
            <w:pPr>
              <w:pStyle w:val="TableContents"/>
              <w:bidi w:val="0"/>
              <w:spacing w:before="0" w:after="283"/>
              <w:jc w:val="left"/>
              <w:rPr/>
            </w:pPr>
            <w:r>
              <w:rPr/>
              <w:t>Can it select and use the required tools correctly and stay inside the declared surface?</w:t>
            </w:r>
          </w:p>
        </w:tc>
      </w:tr>
      <w:tr>
        <w:trPr/>
        <w:tc>
          <w:tcPr>
            <w:tcW w:w="2179" w:type="dxa"/>
            <w:tcBorders/>
            <w:vAlign w:val="center"/>
          </w:tcPr>
          <w:p>
            <w:pPr>
              <w:pStyle w:val="TableContents"/>
              <w:bidi w:val="0"/>
              <w:spacing w:before="0" w:after="283"/>
              <w:jc w:val="left"/>
              <w:rPr/>
            </w:pPr>
            <w:r>
              <w:rPr/>
              <w:t>Data</w:t>
            </w:r>
          </w:p>
        </w:tc>
        <w:tc>
          <w:tcPr>
            <w:tcW w:w="10773" w:type="dxa"/>
            <w:tcBorders/>
            <w:vAlign w:val="center"/>
          </w:tcPr>
          <w:p>
            <w:pPr>
              <w:pStyle w:val="TableContents"/>
              <w:bidi w:val="0"/>
              <w:spacing w:before="0" w:after="283"/>
              <w:jc w:val="left"/>
              <w:rPr/>
            </w:pPr>
            <w:r>
              <w:rPr/>
              <w:t>Can it handle the permitted data classes with required quality, minimization, residency, and retention controls?</w:t>
            </w:r>
          </w:p>
        </w:tc>
      </w:tr>
      <w:tr>
        <w:trPr/>
        <w:tc>
          <w:tcPr>
            <w:tcW w:w="2179" w:type="dxa"/>
            <w:tcBorders/>
            <w:vAlign w:val="center"/>
          </w:tcPr>
          <w:p>
            <w:pPr>
              <w:pStyle w:val="TableContents"/>
              <w:bidi w:val="0"/>
              <w:spacing w:before="0" w:after="283"/>
              <w:jc w:val="left"/>
              <w:rPr/>
            </w:pPr>
            <w:r>
              <w:rPr/>
              <w:t>Model/provider</w:t>
            </w:r>
          </w:p>
        </w:tc>
        <w:tc>
          <w:tcPr>
            <w:tcW w:w="10773" w:type="dxa"/>
            <w:tcBorders/>
            <w:vAlign w:val="center"/>
          </w:tcPr>
          <w:p>
            <w:pPr>
              <w:pStyle w:val="TableContents"/>
              <w:bidi w:val="0"/>
              <w:spacing w:before="0" w:after="283"/>
              <w:jc w:val="left"/>
              <w:rPr/>
            </w:pPr>
            <w:r>
              <w:rPr/>
              <w:t>Is the routed model eligible and adequate for the activity, modality, context, and risk?</w:t>
            </w:r>
          </w:p>
        </w:tc>
      </w:tr>
      <w:tr>
        <w:trPr/>
        <w:tc>
          <w:tcPr>
            <w:tcW w:w="2179" w:type="dxa"/>
            <w:tcBorders/>
            <w:vAlign w:val="center"/>
          </w:tcPr>
          <w:p>
            <w:pPr>
              <w:pStyle w:val="TableContents"/>
              <w:bidi w:val="0"/>
              <w:spacing w:before="0" w:after="283"/>
              <w:jc w:val="left"/>
              <w:rPr/>
            </w:pPr>
            <w:r>
              <w:rPr/>
              <w:t>Harness</w:t>
            </w:r>
          </w:p>
        </w:tc>
        <w:tc>
          <w:tcPr>
            <w:tcW w:w="10773" w:type="dxa"/>
            <w:tcBorders/>
            <w:vAlign w:val="center"/>
          </w:tcPr>
          <w:p>
            <w:pPr>
              <w:pStyle w:val="TableContents"/>
              <w:bidi w:val="0"/>
              <w:spacing w:before="0" w:after="283"/>
              <w:jc w:val="left"/>
              <w:rPr/>
            </w:pPr>
            <w:r>
              <w:rPr/>
              <w:t>Do instructions, memory, grants, action gates, and receipts preserve the qualified behavior?</w:t>
            </w:r>
          </w:p>
        </w:tc>
      </w:tr>
      <w:tr>
        <w:trPr/>
        <w:tc>
          <w:tcPr>
            <w:tcW w:w="2179" w:type="dxa"/>
            <w:tcBorders/>
            <w:vAlign w:val="center"/>
          </w:tcPr>
          <w:p>
            <w:pPr>
              <w:pStyle w:val="TableContents"/>
              <w:bidi w:val="0"/>
              <w:spacing w:before="0" w:after="283"/>
              <w:jc w:val="left"/>
              <w:rPr/>
            </w:pPr>
            <w:r>
              <w:rPr/>
              <w:t>Human configuration</w:t>
            </w:r>
          </w:p>
        </w:tc>
        <w:tc>
          <w:tcPr>
            <w:tcW w:w="10773" w:type="dxa"/>
            <w:tcBorders/>
            <w:vAlign w:val="center"/>
          </w:tcPr>
          <w:p>
            <w:pPr>
              <w:pStyle w:val="TableContents"/>
              <w:bidi w:val="0"/>
              <w:spacing w:before="0" w:after="283"/>
              <w:jc w:val="left"/>
              <w:rPr/>
            </w:pPr>
            <w:r>
              <w:rPr/>
              <w:t>Are required reviewers, supervisors, and escalation receivers present and effective?</w:t>
            </w:r>
          </w:p>
        </w:tc>
      </w:tr>
      <w:tr>
        <w:trPr/>
        <w:tc>
          <w:tcPr>
            <w:tcW w:w="2179" w:type="dxa"/>
            <w:tcBorders/>
            <w:vAlign w:val="center"/>
          </w:tcPr>
          <w:p>
            <w:pPr>
              <w:pStyle w:val="TableContents"/>
              <w:bidi w:val="0"/>
              <w:spacing w:before="0" w:after="283"/>
              <w:jc w:val="left"/>
              <w:rPr/>
            </w:pPr>
            <w:r>
              <w:rPr/>
              <w:t>Outcomes</w:t>
            </w:r>
          </w:p>
        </w:tc>
        <w:tc>
          <w:tcPr>
            <w:tcW w:w="10773" w:type="dxa"/>
            <w:tcBorders/>
            <w:vAlign w:val="center"/>
          </w:tcPr>
          <w:p>
            <w:pPr>
              <w:pStyle w:val="TableContents"/>
              <w:bidi w:val="0"/>
              <w:spacing w:before="0" w:after="283"/>
              <w:jc w:val="left"/>
              <w:rPr/>
            </w:pPr>
            <w:r>
              <w:rPr/>
              <w:t>Do results satisfy job-specific acceptance criteria under representative conditions?</w:t>
            </w:r>
          </w:p>
        </w:tc>
      </w:tr>
    </w:tbl>
    <w:p>
      <w:pPr>
        <w:pStyle w:val="BodyText"/>
        <w:bidi w:val="0"/>
        <w:jc w:val="left"/>
        <w:rPr/>
      </w:pPr>
      <w:r>
        <w:rPr/>
        <w:t xml:space="preserve">The qualification </w:t>
      </w:r>
      <w:r>
        <w:rPr>
          <w:rStyle w:val="SourceText"/>
        </w:rPr>
        <w:t>MUST</w:t>
      </w:r>
      <w:r>
        <w:rPr/>
        <w:t xml:space="preserve"> assess the system composition, not the base model in isolation.</w:t>
      </w:r>
    </w:p>
    <w:p>
      <w:pPr>
        <w:pStyle w:val="Heading3"/>
        <w:bidi w:val="0"/>
        <w:jc w:val="left"/>
        <w:rPr/>
      </w:pPr>
      <w:r>
        <w:rPr/>
        <w:t>8.1 WSID and vector decisioning</w:t>
      </w:r>
    </w:p>
    <w:p>
      <w:pPr>
        <w:pStyle w:val="BodyText"/>
        <w:bidi w:val="0"/>
        <w:jc w:val="left"/>
        <w:rPr/>
      </w:pPr>
      <w:r>
        <w:rPr/>
        <w:t>When a platform uses profession-local doctrine or decision vectors:</w:t>
      </w:r>
    </w:p>
    <w:p>
      <w:pPr>
        <w:pStyle w:val="BodyText"/>
        <w:numPr>
          <w:ilvl w:val="0"/>
          <w:numId w:val="15"/>
        </w:numPr>
        <w:tabs>
          <w:tab w:val="clear" w:pos="1134"/>
          <w:tab w:val="left" w:pos="709" w:leader="none"/>
        </w:tabs>
        <w:bidi w:val="0"/>
        <w:spacing w:before="0" w:after="0"/>
        <w:ind w:hanging="283" w:left="709"/>
        <w:jc w:val="left"/>
        <w:rPr/>
      </w:pPr>
      <w:r>
        <w:rPr/>
        <w:t xml:space="preserve">the qualification scheme </w:t>
      </w:r>
      <w:r>
        <w:rPr>
          <w:rStyle w:val="SourceText"/>
        </w:rPr>
        <w:t>MUST</w:t>
      </w:r>
      <w:r>
        <w:rPr/>
        <w:t xml:space="preserve"> identify the applicable profession and axis versions </w:t>
      </w:r>
    </w:p>
    <w:p>
      <w:pPr>
        <w:pStyle w:val="BodyText"/>
        <w:numPr>
          <w:ilvl w:val="0"/>
          <w:numId w:val="15"/>
        </w:numPr>
        <w:tabs>
          <w:tab w:val="clear" w:pos="1134"/>
          <w:tab w:val="left" w:pos="709" w:leader="none"/>
        </w:tabs>
        <w:bidi w:val="0"/>
        <w:spacing w:before="0" w:after="0"/>
        <w:ind w:hanging="283" w:left="709"/>
        <w:jc w:val="left"/>
        <w:rPr/>
      </w:pPr>
      <w:r>
        <w:rPr/>
        <w:t xml:space="preserve">shared platform doctrine and profession-local doctrine </w:t>
      </w:r>
      <w:r>
        <w:rPr>
          <w:rStyle w:val="SourceText"/>
        </w:rPr>
        <w:t>MUST</w:t>
      </w:r>
      <w:r>
        <w:rPr/>
        <w:t xml:space="preserve"> remain distinguishable </w:t>
      </w:r>
    </w:p>
    <w:p>
      <w:pPr>
        <w:pStyle w:val="BodyText"/>
        <w:numPr>
          <w:ilvl w:val="0"/>
          <w:numId w:val="15"/>
        </w:numPr>
        <w:tabs>
          <w:tab w:val="clear" w:pos="1134"/>
          <w:tab w:val="left" w:pos="709" w:leader="none"/>
        </w:tabs>
        <w:bidi w:val="0"/>
        <w:spacing w:before="0" w:after="0"/>
        <w:ind w:hanging="283" w:left="709"/>
        <w:jc w:val="left"/>
        <w:rPr/>
      </w:pPr>
      <w:r>
        <w:rPr/>
        <w:t xml:space="preserve">organization-specific weights </w:t>
      </w:r>
      <w:r>
        <w:rPr>
          <w:rStyle w:val="SourceText"/>
        </w:rPr>
        <w:t>MUST</w:t>
      </w:r>
      <w:r>
        <w:rPr/>
        <w:t xml:space="preserve"> identify their authority and evidence basis </w:t>
      </w:r>
    </w:p>
    <w:p>
      <w:pPr>
        <w:pStyle w:val="BodyText"/>
        <w:numPr>
          <w:ilvl w:val="0"/>
          <w:numId w:val="15"/>
        </w:numPr>
        <w:tabs>
          <w:tab w:val="clear" w:pos="1134"/>
          <w:tab w:val="left" w:pos="709" w:leader="none"/>
        </w:tabs>
        <w:bidi w:val="0"/>
        <w:spacing w:before="0" w:after="0"/>
        <w:ind w:hanging="283" w:left="709"/>
        <w:jc w:val="left"/>
        <w:rPr/>
      </w:pPr>
      <w:r>
        <w:rPr/>
        <w:t xml:space="preserve">inferred or situational weights </w:t>
      </w:r>
      <w:r>
        <w:rPr>
          <w:rStyle w:val="SourceText"/>
        </w:rPr>
        <w:t>MUST</w:t>
      </w:r>
      <w:r>
        <w:rPr/>
        <w:t xml:space="preserve"> disclose their confidence, freshness, and validation scope </w:t>
      </w:r>
    </w:p>
    <w:p>
      <w:pPr>
        <w:pStyle w:val="BodyText"/>
        <w:numPr>
          <w:ilvl w:val="0"/>
          <w:numId w:val="15"/>
        </w:numPr>
        <w:tabs>
          <w:tab w:val="clear" w:pos="1134"/>
          <w:tab w:val="left" w:pos="709" w:leader="none"/>
        </w:tabs>
        <w:bidi w:val="0"/>
        <w:ind w:hanging="283" w:left="709"/>
        <w:jc w:val="left"/>
        <w:rPr/>
      </w:pPr>
      <w:r>
        <w:rPr/>
        <w:t xml:space="preserve">a rank-deficient or materially incomplete decision space </w:t>
      </w:r>
      <w:r>
        <w:rPr>
          <w:rStyle w:val="SourceText"/>
        </w:rPr>
        <w:t>MUST NOT</w:t>
      </w:r>
      <w:r>
        <w:rPr/>
        <w:t xml:space="preserve"> be represented as a complete job-intelligence qualification </w:t>
      </w:r>
    </w:p>
    <w:p>
      <w:pPr>
        <w:pStyle w:val="Heading3"/>
        <w:bidi w:val="0"/>
        <w:jc w:val="left"/>
        <w:rPr/>
      </w:pPr>
      <w:r>
        <w:rPr/>
        <w:t>8.2 Learning and adaptation</w:t>
      </w:r>
    </w:p>
    <w:p>
      <w:pPr>
        <w:pStyle w:val="BodyText"/>
        <w:bidi w:val="0"/>
        <w:jc w:val="left"/>
        <w:rPr/>
      </w:pPr>
      <w:r>
        <w:rPr>
          <w:rStyle w:val="SourceText"/>
        </w:rPr>
        <w:t>TAK-JSI</w:t>
      </w:r>
      <w:r>
        <w:rPr/>
        <w:t xml:space="preserve"> does not require model training or fine-tuning.</w:t>
      </w:r>
    </w:p>
    <w:p>
      <w:pPr>
        <w:pStyle w:val="BodyText"/>
        <w:bidi w:val="0"/>
        <w:jc w:val="left"/>
        <w:rPr/>
      </w:pPr>
      <w:r>
        <w:rPr/>
        <w:t xml:space="preserve">An implementation </w:t>
      </w:r>
      <w:r>
        <w:rPr>
          <w:rStyle w:val="SourceText"/>
        </w:rPr>
        <w:t>MAY</w:t>
      </w:r>
      <w:r>
        <w:rPr/>
        <w:t xml:space="preserve"> adapt:</w:t>
      </w:r>
    </w:p>
    <w:p>
      <w:pPr>
        <w:pStyle w:val="BodyText"/>
        <w:numPr>
          <w:ilvl w:val="0"/>
          <w:numId w:val="16"/>
        </w:numPr>
        <w:tabs>
          <w:tab w:val="clear" w:pos="1134"/>
          <w:tab w:val="left" w:pos="709" w:leader="none"/>
        </w:tabs>
        <w:bidi w:val="0"/>
        <w:spacing w:before="0" w:after="0"/>
        <w:ind w:hanging="283" w:left="709"/>
        <w:jc w:val="left"/>
        <w:rPr/>
      </w:pPr>
      <w:r>
        <w:rPr/>
        <w:t xml:space="preserve">retrieval and corpus selection </w:t>
      </w:r>
    </w:p>
    <w:p>
      <w:pPr>
        <w:pStyle w:val="BodyText"/>
        <w:numPr>
          <w:ilvl w:val="0"/>
          <w:numId w:val="16"/>
        </w:numPr>
        <w:tabs>
          <w:tab w:val="clear" w:pos="1134"/>
          <w:tab w:val="left" w:pos="709" w:leader="none"/>
        </w:tabs>
        <w:bidi w:val="0"/>
        <w:spacing w:before="0" w:after="0"/>
        <w:ind w:hanging="283" w:left="709"/>
        <w:jc w:val="left"/>
        <w:rPr/>
      </w:pPr>
      <w:r>
        <w:rPr/>
        <w:t xml:space="preserve">organization-specific decision weights </w:t>
      </w:r>
    </w:p>
    <w:p>
      <w:pPr>
        <w:pStyle w:val="BodyText"/>
        <w:numPr>
          <w:ilvl w:val="0"/>
          <w:numId w:val="16"/>
        </w:numPr>
        <w:tabs>
          <w:tab w:val="clear" w:pos="1134"/>
          <w:tab w:val="left" w:pos="709" w:leader="none"/>
        </w:tabs>
        <w:bidi w:val="0"/>
        <w:spacing w:before="0" w:after="0"/>
        <w:ind w:hanging="283" w:left="709"/>
        <w:jc w:val="left"/>
        <w:rPr/>
      </w:pPr>
      <w:r>
        <w:rPr/>
        <w:t xml:space="preserve">task routing </w:t>
      </w:r>
    </w:p>
    <w:p>
      <w:pPr>
        <w:pStyle w:val="BodyText"/>
        <w:numPr>
          <w:ilvl w:val="0"/>
          <w:numId w:val="16"/>
        </w:numPr>
        <w:tabs>
          <w:tab w:val="clear" w:pos="1134"/>
          <w:tab w:val="left" w:pos="709" w:leader="none"/>
        </w:tabs>
        <w:bidi w:val="0"/>
        <w:spacing w:before="0" w:after="0"/>
        <w:ind w:hanging="283" w:left="709"/>
        <w:jc w:val="left"/>
        <w:rPr/>
      </w:pPr>
      <w:r>
        <w:rPr/>
        <w:t xml:space="preserve">tool selection policies </w:t>
      </w:r>
    </w:p>
    <w:p>
      <w:pPr>
        <w:pStyle w:val="BodyText"/>
        <w:numPr>
          <w:ilvl w:val="0"/>
          <w:numId w:val="16"/>
        </w:numPr>
        <w:tabs>
          <w:tab w:val="clear" w:pos="1134"/>
          <w:tab w:val="left" w:pos="709" w:leader="none"/>
        </w:tabs>
        <w:bidi w:val="0"/>
        <w:spacing w:before="0" w:after="0"/>
        <w:ind w:hanging="283" w:left="709"/>
        <w:jc w:val="left"/>
        <w:rPr/>
      </w:pPr>
      <w:r>
        <w:rPr/>
        <w:t xml:space="preserve">prompts or skills </w:t>
      </w:r>
    </w:p>
    <w:p>
      <w:pPr>
        <w:pStyle w:val="BodyText"/>
        <w:numPr>
          <w:ilvl w:val="0"/>
          <w:numId w:val="16"/>
        </w:numPr>
        <w:tabs>
          <w:tab w:val="clear" w:pos="1134"/>
          <w:tab w:val="left" w:pos="709" w:leader="none"/>
        </w:tabs>
        <w:bidi w:val="0"/>
        <w:ind w:hanging="283" w:left="709"/>
        <w:jc w:val="left"/>
        <w:rPr/>
      </w:pPr>
      <w:r>
        <w:rPr/>
        <w:t xml:space="preserve">workflow sequencing </w:t>
      </w:r>
    </w:p>
    <w:p>
      <w:pPr>
        <w:pStyle w:val="BodyText"/>
        <w:bidi w:val="0"/>
        <w:jc w:val="left"/>
        <w:rPr/>
      </w:pPr>
      <w:r>
        <w:rPr/>
        <w:t xml:space="preserve">Adaptive changes </w:t>
      </w:r>
      <w:r>
        <w:rPr>
          <w:rStyle w:val="SourceText"/>
        </w:rPr>
        <w:t>MUST</w:t>
      </w:r>
      <w:r>
        <w:rPr/>
        <w:t xml:space="preserve"> remain observable, attributable, bounded, and subject to the material-change rules in Section 13.</w:t>
      </w:r>
    </w:p>
    <w:p>
      <w:pPr>
        <w:pStyle w:val="BodyText"/>
        <w:bidi w:val="0"/>
        <w:jc w:val="left"/>
        <w:rPr/>
      </w:pPr>
      <w:r>
        <w:rPr/>
        <w:t xml:space="preserve">An adaptive method proven for one operating profile </w:t>
      </w:r>
      <w:r>
        <w:rPr>
          <w:rStyle w:val="SourceText"/>
        </w:rPr>
        <w:t>MUST NOT</w:t>
      </w:r>
      <w:r>
        <w:rPr/>
        <w:t xml:space="preserve"> be presumed transferable to another model, provider, harness, tool surface, corpus, memory policy, job version, or data/risk context. Transfer requires direct target-profile evidence or a scheme-defined equivalence decision. The informative </w:t>
      </w:r>
      <w:hyperlink r:id="rId30">
        <w:r>
          <w:rPr>
            <w:rStyle w:val="Hyperlink"/>
          </w:rPr>
          <w:t>PAAW competence-evolution Workroom profile</w:t>
        </w:r>
      </w:hyperlink>
      <w:r>
        <w:rPr/>
        <w:t xml:space="preserve"> defines the DPF application pattern for producing that evidence.</w:t>
      </w:r>
    </w:p>
    <w:p>
      <w:pPr>
        <w:pStyle w:val="Heading3"/>
        <w:bidi w:val="0"/>
        <w:jc w:val="left"/>
        <w:rPr/>
      </w:pPr>
      <w:r>
        <w:rPr/>
        <w:t>8.3 Workroom Process Overseer qualification</w:t>
      </w:r>
    </w:p>
    <w:p>
      <w:pPr>
        <w:pStyle w:val="BodyText"/>
        <w:bidi w:val="0"/>
        <w:jc w:val="left"/>
        <w:rPr/>
      </w:pPr>
      <w:r>
        <w:rPr/>
        <w:t xml:space="preserve">When an AI coworker occupies a Workroom's canonical </w:t>
      </w:r>
      <w:r>
        <w:rPr>
          <w:rStyle w:val="SourceText"/>
        </w:rPr>
        <w:t>coordinator</w:t>
      </w:r>
      <w:r>
        <w:rPr/>
        <w:t xml:space="preserve"> role, the job profile </w:t>
      </w:r>
      <w:r>
        <w:rPr>
          <w:rStyle w:val="SourceText"/>
        </w:rPr>
        <w:t>MUST</w:t>
      </w:r>
      <w:r>
        <w:rPr/>
        <w:t xml:space="preserve"> include the applicable process-oversight activity. A qualification for the room's substantive task does not imply qualification to oversee its execution shape.</w:t>
      </w:r>
    </w:p>
    <w:p>
      <w:pPr>
        <w:pStyle w:val="BodyText"/>
        <w:bidi w:val="0"/>
        <w:jc w:val="left"/>
        <w:rPr/>
      </w:pPr>
      <w:r>
        <w:rPr/>
        <w:t xml:space="preserve">The scheme </w:t>
      </w:r>
      <w:r>
        <w:rPr>
          <w:rStyle w:val="SourceText"/>
        </w:rPr>
        <w:t>MUST</w:t>
      </w:r>
      <w:r>
        <w:rPr/>
        <w:t xml:space="preserve"> assess whether the subject can:</w:t>
      </w:r>
    </w:p>
    <w:p>
      <w:pPr>
        <w:pStyle w:val="BodyText"/>
        <w:numPr>
          <w:ilvl w:val="0"/>
          <w:numId w:val="17"/>
        </w:numPr>
        <w:tabs>
          <w:tab w:val="clear" w:pos="1134"/>
          <w:tab w:val="left" w:pos="709" w:leader="none"/>
        </w:tabs>
        <w:bidi w:val="0"/>
        <w:spacing w:before="0" w:after="0"/>
        <w:ind w:hanging="283" w:left="709"/>
        <w:jc w:val="left"/>
        <w:rPr/>
      </w:pPr>
      <w:r>
        <w:rPr/>
        <w:t xml:space="preserve">resolve the exact collaboration shape and WorkShapeDefinition versions; </w:t>
      </w:r>
    </w:p>
    <w:p>
      <w:pPr>
        <w:pStyle w:val="BodyText"/>
        <w:numPr>
          <w:ilvl w:val="0"/>
          <w:numId w:val="17"/>
        </w:numPr>
        <w:tabs>
          <w:tab w:val="clear" w:pos="1134"/>
          <w:tab w:val="left" w:pos="709" w:leader="none"/>
        </w:tabs>
        <w:bidi w:val="0"/>
        <w:spacing w:before="0" w:after="0"/>
        <w:ind w:hanging="283" w:left="709"/>
        <w:jc w:val="left"/>
        <w:rPr/>
      </w:pPr>
      <w:r>
        <w:rPr/>
        <w:t xml:space="preserve">distinguish accountable ownership, execution, evaluation/review, approval, and coordination; </w:t>
      </w:r>
    </w:p>
    <w:p>
      <w:pPr>
        <w:pStyle w:val="BodyText"/>
        <w:numPr>
          <w:ilvl w:val="0"/>
          <w:numId w:val="17"/>
        </w:numPr>
        <w:tabs>
          <w:tab w:val="clear" w:pos="1134"/>
          <w:tab w:val="left" w:pos="709" w:leader="none"/>
        </w:tabs>
        <w:bidi w:val="0"/>
        <w:spacing w:before="0" w:after="0"/>
        <w:ind w:hanging="283" w:left="709"/>
        <w:jc w:val="left"/>
        <w:rPr/>
      </w:pPr>
      <w:r>
        <w:rPr/>
        <w:t xml:space="preserve">detect missing or conflicting participants, out-of-order stages, absent prerequisite evidence, exhausted budgets, due review points, and met stop conditions; </w:t>
      </w:r>
    </w:p>
    <w:p>
      <w:pPr>
        <w:pStyle w:val="BodyText"/>
        <w:numPr>
          <w:ilvl w:val="0"/>
          <w:numId w:val="17"/>
        </w:numPr>
        <w:tabs>
          <w:tab w:val="clear" w:pos="1134"/>
          <w:tab w:val="left" w:pos="709" w:leader="none"/>
        </w:tabs>
        <w:bidi w:val="0"/>
        <w:spacing w:before="0" w:after="0"/>
        <w:ind w:hanging="283" w:left="709"/>
        <w:jc w:val="left"/>
        <w:rPr/>
      </w:pPr>
      <w:r>
        <w:rPr/>
        <w:t xml:space="preserve">pause or refuse execution, produce an attributable conformance receipt, and route repair or escalation without inventing an occupant, skipping a gate, or widening authority; </w:t>
      </w:r>
    </w:p>
    <w:p>
      <w:pPr>
        <w:pStyle w:val="BodyText"/>
        <w:numPr>
          <w:ilvl w:val="0"/>
          <w:numId w:val="17"/>
        </w:numPr>
        <w:tabs>
          <w:tab w:val="clear" w:pos="1134"/>
          <w:tab w:val="left" w:pos="709" w:leader="none"/>
        </w:tabs>
        <w:bidi w:val="0"/>
        <w:spacing w:before="0" w:after="0"/>
        <w:ind w:hanging="283" w:left="709"/>
        <w:jc w:val="left"/>
        <w:rPr/>
      </w:pPr>
      <w:r>
        <w:rPr/>
        <w:t xml:space="preserve">preserve attempt, seed, retry, submission, and resource accounting without optimizing a proxy by silent repetition; and </w:t>
      </w:r>
    </w:p>
    <w:p>
      <w:pPr>
        <w:pStyle w:val="BodyText"/>
        <w:numPr>
          <w:ilvl w:val="0"/>
          <w:numId w:val="17"/>
        </w:numPr>
        <w:tabs>
          <w:tab w:val="clear" w:pos="1134"/>
          <w:tab w:val="left" w:pos="709" w:leader="none"/>
        </w:tabs>
        <w:bidi w:val="0"/>
        <w:ind w:hanging="283" w:left="709"/>
        <w:jc w:val="left"/>
        <w:rPr/>
      </w:pPr>
      <w:r>
        <w:rPr/>
        <w:t xml:space="preserve">remain independent from evaluator or approver roles wherever the Workroom shape requires that separation. </w:t>
      </w:r>
    </w:p>
    <w:p>
      <w:pPr>
        <w:pStyle w:val="BodyText"/>
        <w:bidi w:val="0"/>
        <w:jc w:val="left"/>
        <w:rPr/>
      </w:pPr>
      <w:r>
        <w:rPr/>
        <w:t xml:space="preserve">The qualification scope </w:t>
      </w:r>
      <w:r>
        <w:rPr>
          <w:rStyle w:val="SourceText"/>
        </w:rPr>
        <w:t>MUST</w:t>
      </w:r>
      <w:r>
        <w:rPr/>
        <w:t xml:space="preserve"> name the supported Workroom shapes, work/activity classes, maximum risk, tools, data classes, and allowed oversight posture. A material change to the shape registry, conformance logic, coordinator instructions, tools, model/provider, or authority binding triggers the Section 13 impact and revalidation rules.</w:t>
      </w:r>
    </w:p>
    <w:p>
      <w:pPr>
        <w:pStyle w:val="BodyText"/>
        <w:bidi w:val="0"/>
        <w:jc w:val="left"/>
        <w:rPr/>
      </w:pPr>
      <w:r>
        <w:rPr>
          <w:rStyle w:val="Strong"/>
        </w:rPr>
        <w:t>Informative application of Sections 8.2, 8.3, 11.5 and 13.</w:t>
      </w:r>
      <w:r>
        <w:rPr/>
        <w:t xml:space="preserve"> The </w:t>
      </w:r>
      <w:hyperlink r:id="rId31">
        <w:r>
          <w:rPr>
            <w:rStyle w:val="Hyperlink"/>
          </w:rPr>
          <w:t>cross-workroom review profile</w:t>
        </w:r>
      </w:hyperlink>
      <w:r>
        <w:rPr/>
        <w:t xml:space="preserve"> records effective source/shape and archetype-profile versions, tool/skill/instruction versions, evidence scope and missing attribution alongside a proposed learning. Its analyst and assessor need competence in selecting comparable denominators, separating retries from independent occurrences, interpreting valid refusals, reporting uncertainty and reconstructing safe recovery. Qualification to execute a business activity does not itself establish competence to assess improvements across that activity's workrooms.</w:t>
      </w:r>
    </w:p>
    <w:p>
      <w:pPr>
        <w:pStyle w:val="BodyText"/>
        <w:bidi w:val="0"/>
        <w:jc w:val="left"/>
        <w:rPr/>
      </w:pPr>
      <w:r>
        <w:rPr/>
        <w:t>For this proposed application, the assessor precommits the eligible population, critical failures, minimum opportunity window and decision rule before observing the candidate. The change author does not certify its benefit. Common-to-domain and domain-to-common transfer use the target-profile evidence or equivalence process in Section 8.2; changes to the reviewer, evaluator, method or effective profile receive the applicable Section 13 impact analysis. Insufficient observations remain inconclusive. This note explains application of existing requirements; it does not confer qualification, widen authority or adopt additional conformance requirements.</w:t>
      </w:r>
    </w:p>
    <w:p>
      <w:pPr>
        <w:pStyle w:val="Heading3"/>
        <w:bidi w:val="0"/>
        <w:jc w:val="left"/>
        <w:rPr/>
      </w:pPr>
      <w:r>
        <w:rPr/>
        <w:t>8.4 Qualification of Principle-Directed Work</w:t>
      </w:r>
    </w:p>
    <w:p>
      <w:pPr>
        <w:pStyle w:val="BodyText"/>
        <w:bidi w:val="0"/>
        <w:jc w:val="left"/>
        <w:rPr/>
      </w:pPr>
      <w:r>
        <w:rPr>
          <w:rStyle w:val="Strong"/>
        </w:rPr>
        <w:t>Working-draft amendment, EP-B932453F / BI-A484D58F.</w:t>
      </w:r>
      <w:r>
        <w:rPr/>
        <w:t xml:space="preserve"> </w:t>
      </w:r>
      <w:r>
        <w:rPr>
          <w:rStyle w:val="SourceText"/>
        </w:rPr>
        <w:t>JSI-PD-001</w:t>
      </w:r>
      <w:r>
        <w:rPr/>
        <w:t xml:space="preserve">: a scheme assessing principle-directed work </w:t>
      </w:r>
      <w:r>
        <w:rPr>
          <w:rStyle w:val="SourceText"/>
        </w:rPr>
        <w:t>MUST</w:t>
      </w:r>
      <w:r>
        <w:rPr/>
        <w:t xml:space="preserve"> evaluate the subject's ability to select the owning scope, distinguish constraints from preferences, recognize insufficient evidence, and seek the correct resolver without fabricating authority. The scheme </w:t>
      </w:r>
      <w:r>
        <w:rPr>
          <w:rStyle w:val="SourceText"/>
        </w:rPr>
        <w:t>MUST</w:t>
      </w:r>
      <w:r>
        <w:rPr/>
        <w:t xml:space="preserve"> bind those results to the assessed corpus/axis versions, work shape, model routing, tool/data boundaries and oversight configuration.</w:t>
      </w:r>
    </w:p>
    <w:p>
      <w:pPr>
        <w:pStyle w:val="BodyText"/>
        <w:bidi w:val="0"/>
        <w:jc w:val="left"/>
        <w:rPr/>
      </w:pPr>
      <w:r>
        <w:rPr>
          <w:rStyle w:val="SourceText"/>
        </w:rPr>
        <w:t>JSI-PD-002</w:t>
      </w:r>
      <w:r>
        <w:rPr/>
        <w:t xml:space="preserve">: transfer to another harness or operating profile </w:t>
      </w:r>
      <w:r>
        <w:rPr>
          <w:rStyle w:val="SourceText"/>
        </w:rPr>
        <w:t>MUST</w:t>
      </w:r>
      <w:r>
        <w:rPr/>
        <w:t xml:space="preserve"> retain the original evidence scope and require target-profile assessment or an attributable, scheme-defined equivalence decision. Unsupported enforcement capabilities </w:t>
      </w:r>
      <w:r>
        <w:rPr>
          <w:rStyle w:val="SourceText"/>
        </w:rPr>
        <w:t>MUST</w:t>
      </w:r>
      <w:r>
        <w:rPr/>
        <w:t xml:space="preserve"> be reported as limitations rather than inferred from successfully imported prose or skills. A portable definition can remain </w:t>
      </w:r>
      <w:r>
        <w:rPr>
          <w:rStyle w:val="SourceText"/>
        </w:rPr>
        <w:t>TAK-JSI-Defined</w:t>
      </w:r>
      <w:r>
        <w:rPr/>
        <w:t xml:space="preserve"> without being </w:t>
      </w:r>
      <w:r>
        <w:rPr>
          <w:rStyle w:val="SourceText"/>
        </w:rPr>
        <w:t>TAK-JSI-Assessed</w:t>
      </w:r>
      <w:r>
        <w:rPr/>
        <w:t xml:space="preserve"> or </w:t>
      </w:r>
      <w:r>
        <w:rPr>
          <w:rStyle w:val="SourceText"/>
        </w:rPr>
        <w:t>TAK-JSI-Qualified</w:t>
      </w:r>
      <w:r>
        <w:rPr/>
        <w:t>.</w:t>
      </w:r>
    </w:p>
    <w:p>
      <w:pPr>
        <w:pStyle w:val="BodyText"/>
        <w:bidi w:val="0"/>
        <w:jc w:val="left"/>
        <w:rPr/>
      </w:pPr>
      <w:r>
        <w:rPr/>
        <w:t xml:space="preserve">These clauses refine §§8.1, 8.2 and 13. TAK owns live authorization and the </w:t>
      </w:r>
      <w:r>
        <w:fldChar w:fldCharType="begin"/>
      </w:r>
      <w:r>
        <w:rPr>
          <w:rStyle w:val="Hyperlink"/>
        </w:rPr>
        <w:instrText xml:space="preserve"> HYPERLINK "../in/trusted-ai-kernel.md" \l "713-principle-directed-decision-contract"</w:instrText>
      </w:r>
      <w:r>
        <w:rPr>
          <w:rStyle w:val="Hyperlink"/>
        </w:rPr>
        <w:fldChar w:fldCharType="separate"/>
      </w:r>
      <w:r>
        <w:rPr>
          <w:rStyle w:val="Hyperlink"/>
        </w:rPr>
        <w:t>principle-directed control contract</w:t>
      </w:r>
      <w:r>
        <w:rPr>
          <w:rStyle w:val="Hyperlink"/>
        </w:rPr>
        <w:fldChar w:fldCharType="end"/>
      </w:r>
      <w:r>
        <w:rPr/>
        <w:t>. Independent review remains pending; no existing qualification is upgraded by this draft amendment.</w:t>
      </w:r>
    </w:p>
    <w:p>
      <w:pPr>
        <w:pStyle w:val="Heading2"/>
        <w:bidi w:val="0"/>
        <w:jc w:val="left"/>
        <w:rPr/>
      </w:pPr>
      <w:r>
        <w:rPr/>
        <w:t>9. Model and Provider Suitability</w:t>
      </w:r>
    </w:p>
    <w:p>
      <w:pPr>
        <w:pStyle w:val="Heading3"/>
        <w:bidi w:val="0"/>
        <w:jc w:val="left"/>
        <w:rPr/>
      </w:pPr>
      <w:r>
        <w:rPr/>
        <w:t>9.1 Eligibility before ranking</w:t>
      </w:r>
    </w:p>
    <w:p>
      <w:pPr>
        <w:pStyle w:val="BodyText"/>
        <w:bidi w:val="0"/>
        <w:jc w:val="left"/>
        <w:rPr/>
      </w:pPr>
      <w:r>
        <w:rPr/>
        <w:t xml:space="preserve">Model routing for qualified work </w:t>
      </w:r>
      <w:r>
        <w:rPr>
          <w:rStyle w:val="SourceText"/>
        </w:rPr>
        <w:t>MUST</w:t>
      </w:r>
      <w:r>
        <w:rPr/>
        <w:t xml:space="preserve"> apply hard eligibility constraints before quality, cost, or latency ranking.</w:t>
      </w:r>
    </w:p>
    <w:p>
      <w:pPr>
        <w:pStyle w:val="BodyText"/>
        <w:bidi w:val="0"/>
        <w:jc w:val="left"/>
        <w:rPr/>
      </w:pPr>
      <w:r>
        <w:rPr/>
        <w:t xml:space="preserve">Hard constraints </w:t>
      </w:r>
      <w:r>
        <w:rPr>
          <w:rStyle w:val="SourceText"/>
        </w:rPr>
        <w:t>SHOULD</w:t>
      </w:r>
      <w:r>
        <w:rPr/>
        <w:t xml:space="preserve"> include, where applicable:</w:t>
      </w:r>
    </w:p>
    <w:p>
      <w:pPr>
        <w:pStyle w:val="BodyText"/>
        <w:numPr>
          <w:ilvl w:val="0"/>
          <w:numId w:val="18"/>
        </w:numPr>
        <w:tabs>
          <w:tab w:val="clear" w:pos="1134"/>
          <w:tab w:val="left" w:pos="709" w:leader="none"/>
        </w:tabs>
        <w:bidi w:val="0"/>
        <w:spacing w:before="0" w:after="0"/>
        <w:ind w:hanging="283" w:left="709"/>
        <w:jc w:val="left"/>
        <w:rPr/>
      </w:pPr>
      <w:r>
        <w:rPr/>
        <w:t xml:space="preserve">data sensitivity clearance </w:t>
      </w:r>
    </w:p>
    <w:p>
      <w:pPr>
        <w:pStyle w:val="BodyText"/>
        <w:numPr>
          <w:ilvl w:val="0"/>
          <w:numId w:val="18"/>
        </w:numPr>
        <w:tabs>
          <w:tab w:val="clear" w:pos="1134"/>
          <w:tab w:val="left" w:pos="709" w:leader="none"/>
        </w:tabs>
        <w:bidi w:val="0"/>
        <w:spacing w:before="0" w:after="0"/>
        <w:ind w:hanging="283" w:left="709"/>
        <w:jc w:val="left"/>
        <w:rPr/>
      </w:pPr>
      <w:r>
        <w:rPr/>
        <w:t xml:space="preserve">residency and egress restrictions </w:t>
      </w:r>
    </w:p>
    <w:p>
      <w:pPr>
        <w:pStyle w:val="BodyText"/>
        <w:numPr>
          <w:ilvl w:val="0"/>
          <w:numId w:val="18"/>
        </w:numPr>
        <w:tabs>
          <w:tab w:val="clear" w:pos="1134"/>
          <w:tab w:val="left" w:pos="709" w:leader="none"/>
        </w:tabs>
        <w:bidi w:val="0"/>
        <w:spacing w:before="0" w:after="0"/>
        <w:ind w:hanging="283" w:left="709"/>
        <w:jc w:val="left"/>
        <w:rPr/>
      </w:pPr>
      <w:r>
        <w:rPr/>
        <w:t xml:space="preserve">modality and tool/function support </w:t>
      </w:r>
    </w:p>
    <w:p>
      <w:pPr>
        <w:pStyle w:val="BodyText"/>
        <w:numPr>
          <w:ilvl w:val="0"/>
          <w:numId w:val="18"/>
        </w:numPr>
        <w:tabs>
          <w:tab w:val="clear" w:pos="1134"/>
          <w:tab w:val="left" w:pos="709" w:leader="none"/>
        </w:tabs>
        <w:bidi w:val="0"/>
        <w:spacing w:before="0" w:after="0"/>
        <w:ind w:hanging="283" w:left="709"/>
        <w:jc w:val="left"/>
        <w:rPr/>
      </w:pPr>
      <w:r>
        <w:rPr/>
        <w:t xml:space="preserve">minimum context capacity under the actual prompt/tool budget </w:t>
      </w:r>
    </w:p>
    <w:p>
      <w:pPr>
        <w:pStyle w:val="BodyText"/>
        <w:numPr>
          <w:ilvl w:val="0"/>
          <w:numId w:val="18"/>
        </w:numPr>
        <w:tabs>
          <w:tab w:val="clear" w:pos="1134"/>
          <w:tab w:val="left" w:pos="709" w:leader="none"/>
        </w:tabs>
        <w:bidi w:val="0"/>
        <w:spacing w:before="0" w:after="0"/>
        <w:ind w:hanging="283" w:left="709"/>
        <w:jc w:val="left"/>
        <w:rPr/>
      </w:pPr>
      <w:r>
        <w:rPr/>
        <w:t xml:space="preserve">approved provider and model status </w:t>
      </w:r>
    </w:p>
    <w:p>
      <w:pPr>
        <w:pStyle w:val="BodyText"/>
        <w:numPr>
          <w:ilvl w:val="0"/>
          <w:numId w:val="18"/>
        </w:numPr>
        <w:tabs>
          <w:tab w:val="clear" w:pos="1134"/>
          <w:tab w:val="left" w:pos="709" w:leader="none"/>
        </w:tabs>
        <w:bidi w:val="0"/>
        <w:spacing w:before="0" w:after="0"/>
        <w:ind w:hanging="283" w:left="709"/>
        <w:jc w:val="left"/>
        <w:rPr/>
      </w:pPr>
      <w:r>
        <w:rPr/>
        <w:t xml:space="preserve">required security, privacy, and contractual posture </w:t>
      </w:r>
    </w:p>
    <w:p>
      <w:pPr>
        <w:pStyle w:val="BodyText"/>
        <w:numPr>
          <w:ilvl w:val="0"/>
          <w:numId w:val="18"/>
        </w:numPr>
        <w:tabs>
          <w:tab w:val="clear" w:pos="1134"/>
          <w:tab w:val="left" w:pos="709" w:leader="none"/>
        </w:tabs>
        <w:bidi w:val="0"/>
        <w:spacing w:before="0" w:after="0"/>
        <w:ind w:hanging="283" w:left="709"/>
        <w:jc w:val="left"/>
        <w:rPr/>
      </w:pPr>
      <w:r>
        <w:rPr/>
        <w:t xml:space="preserve">task-specific capability floor </w:t>
      </w:r>
    </w:p>
    <w:p>
      <w:pPr>
        <w:pStyle w:val="BodyText"/>
        <w:numPr>
          <w:ilvl w:val="0"/>
          <w:numId w:val="18"/>
        </w:numPr>
        <w:tabs>
          <w:tab w:val="clear" w:pos="1134"/>
          <w:tab w:val="left" w:pos="709" w:leader="none"/>
        </w:tabs>
        <w:bidi w:val="0"/>
        <w:ind w:hanging="283" w:left="709"/>
        <w:jc w:val="left"/>
        <w:rPr/>
      </w:pPr>
      <w:r>
        <w:rPr/>
        <w:t xml:space="preserve">availability of required logging and evidence </w:t>
      </w:r>
    </w:p>
    <w:p>
      <w:pPr>
        <w:pStyle w:val="BodyText"/>
        <w:bidi w:val="0"/>
        <w:jc w:val="left"/>
        <w:rPr/>
      </w:pPr>
      <w:r>
        <w:rPr/>
        <w:t xml:space="preserve">If no candidate satisfies every hard constraint, the runtime </w:t>
      </w:r>
      <w:r>
        <w:rPr>
          <w:rStyle w:val="SourceText"/>
        </w:rPr>
        <w:t>MUST</w:t>
      </w:r>
      <w:r>
        <w:rPr/>
        <w:t xml:space="preserve"> fail closed, narrow the task, or escalate. It </w:t>
      </w:r>
      <w:r>
        <w:rPr>
          <w:rStyle w:val="SourceText"/>
        </w:rPr>
        <w:t>MUST NOT</w:t>
      </w:r>
      <w:r>
        <w:rPr/>
        <w:t xml:space="preserve"> route sensitive or high-consequence work to an ineligible provider because that provider has a higher generic benchmark score.</w:t>
      </w:r>
    </w:p>
    <w:p>
      <w:pPr>
        <w:pStyle w:val="Heading3"/>
        <w:bidi w:val="0"/>
        <w:jc w:val="left"/>
        <w:rPr/>
      </w:pPr>
      <w:r>
        <w:rPr/>
        <w:t>9.2 Evidence-based adequacy</w:t>
      </w:r>
    </w:p>
    <w:p>
      <w:pPr>
        <w:pStyle w:val="BodyText"/>
        <w:bidi w:val="0"/>
        <w:jc w:val="left"/>
        <w:rPr/>
      </w:pPr>
      <w:r>
        <w:rPr/>
        <w:t xml:space="preserve">After eligibility filtering, a qualification scheme </w:t>
      </w:r>
      <w:r>
        <w:rPr>
          <w:rStyle w:val="SourceText"/>
        </w:rPr>
        <w:t>SHOULD</w:t>
      </w:r>
      <w:r>
        <w:rPr/>
        <w:t xml:space="preserve"> evaluate candidates using:</w:t>
      </w:r>
    </w:p>
    <w:p>
      <w:pPr>
        <w:pStyle w:val="BodyText"/>
        <w:numPr>
          <w:ilvl w:val="0"/>
          <w:numId w:val="19"/>
        </w:numPr>
        <w:tabs>
          <w:tab w:val="clear" w:pos="1134"/>
          <w:tab w:val="left" w:pos="709" w:leader="none"/>
        </w:tabs>
        <w:bidi w:val="0"/>
        <w:spacing w:before="0" w:after="0"/>
        <w:ind w:hanging="283" w:left="709"/>
        <w:jc w:val="left"/>
        <w:rPr/>
      </w:pPr>
      <w:r>
        <w:rPr/>
        <w:t xml:space="preserve">job/activity scenario results </w:t>
      </w:r>
    </w:p>
    <w:p>
      <w:pPr>
        <w:pStyle w:val="BodyText"/>
        <w:numPr>
          <w:ilvl w:val="0"/>
          <w:numId w:val="19"/>
        </w:numPr>
        <w:tabs>
          <w:tab w:val="clear" w:pos="1134"/>
          <w:tab w:val="left" w:pos="709" w:leader="none"/>
        </w:tabs>
        <w:bidi w:val="0"/>
        <w:spacing w:before="0" w:after="0"/>
        <w:ind w:hanging="283" w:left="709"/>
        <w:jc w:val="left"/>
        <w:rPr/>
      </w:pPr>
      <w:r>
        <w:rPr/>
        <w:t xml:space="preserve">observed tool-use reliability </w:t>
      </w:r>
    </w:p>
    <w:p>
      <w:pPr>
        <w:pStyle w:val="BodyText"/>
        <w:numPr>
          <w:ilvl w:val="0"/>
          <w:numId w:val="19"/>
        </w:numPr>
        <w:tabs>
          <w:tab w:val="clear" w:pos="1134"/>
          <w:tab w:val="left" w:pos="709" w:leader="none"/>
        </w:tabs>
        <w:bidi w:val="0"/>
        <w:spacing w:before="0" w:after="0"/>
        <w:ind w:hanging="283" w:left="709"/>
        <w:jc w:val="left"/>
        <w:rPr/>
      </w:pPr>
      <w:r>
        <w:rPr/>
        <w:t xml:space="preserve">outcome correctness and completeness </w:t>
      </w:r>
    </w:p>
    <w:p>
      <w:pPr>
        <w:pStyle w:val="BodyText"/>
        <w:numPr>
          <w:ilvl w:val="0"/>
          <w:numId w:val="19"/>
        </w:numPr>
        <w:tabs>
          <w:tab w:val="clear" w:pos="1134"/>
          <w:tab w:val="left" w:pos="709" w:leader="none"/>
        </w:tabs>
        <w:bidi w:val="0"/>
        <w:spacing w:before="0" w:after="0"/>
        <w:ind w:hanging="283" w:left="709"/>
        <w:jc w:val="left"/>
        <w:rPr/>
      </w:pPr>
      <w:r>
        <w:rPr/>
        <w:t xml:space="preserve">failure detection and escalation behavior </w:t>
      </w:r>
    </w:p>
    <w:p>
      <w:pPr>
        <w:pStyle w:val="BodyText"/>
        <w:numPr>
          <w:ilvl w:val="0"/>
          <w:numId w:val="19"/>
        </w:numPr>
        <w:tabs>
          <w:tab w:val="clear" w:pos="1134"/>
          <w:tab w:val="left" w:pos="709" w:leader="none"/>
        </w:tabs>
        <w:bidi w:val="0"/>
        <w:spacing w:before="0" w:after="0"/>
        <w:ind w:hanging="283" w:left="709"/>
        <w:jc w:val="left"/>
        <w:rPr/>
      </w:pPr>
      <w:r>
        <w:rPr/>
        <w:t xml:space="preserve">uncertainty or calibration evidence </w:t>
      </w:r>
    </w:p>
    <w:p>
      <w:pPr>
        <w:pStyle w:val="BodyText"/>
        <w:numPr>
          <w:ilvl w:val="0"/>
          <w:numId w:val="19"/>
        </w:numPr>
        <w:tabs>
          <w:tab w:val="clear" w:pos="1134"/>
          <w:tab w:val="left" w:pos="709" w:leader="none"/>
        </w:tabs>
        <w:bidi w:val="0"/>
        <w:spacing w:before="0" w:after="0"/>
        <w:ind w:hanging="283" w:left="709"/>
        <w:jc w:val="left"/>
        <w:rPr/>
      </w:pPr>
      <w:r>
        <w:rPr/>
        <w:t xml:space="preserve">cost and latency within the declared service envelope </w:t>
      </w:r>
    </w:p>
    <w:p>
      <w:pPr>
        <w:pStyle w:val="BodyText"/>
        <w:numPr>
          <w:ilvl w:val="0"/>
          <w:numId w:val="19"/>
        </w:numPr>
        <w:tabs>
          <w:tab w:val="clear" w:pos="1134"/>
          <w:tab w:val="left" w:pos="709" w:leader="none"/>
        </w:tabs>
        <w:bidi w:val="0"/>
        <w:ind w:hanging="283" w:left="709"/>
        <w:jc w:val="left"/>
        <w:rPr/>
      </w:pPr>
      <w:r>
        <w:rPr/>
        <w:t xml:space="preserve">robustness across representative data and edge cases </w:t>
      </w:r>
    </w:p>
    <w:p>
      <w:pPr>
        <w:pStyle w:val="BodyText"/>
        <w:bidi w:val="0"/>
        <w:jc w:val="left"/>
        <w:rPr/>
      </w:pPr>
      <w:r>
        <w:rPr/>
        <w:t xml:space="preserve">Model cards and system cards </w:t>
      </w:r>
      <w:r>
        <w:rPr>
          <w:rStyle w:val="SourceText"/>
        </w:rPr>
        <w:t>MAY</w:t>
      </w:r>
      <w:r>
        <w:rPr/>
        <w:t xml:space="preserve"> inform candidate selection. They </w:t>
      </w:r>
      <w:r>
        <w:rPr>
          <w:rStyle w:val="SourceText"/>
        </w:rPr>
        <w:t>MUST NOT</w:t>
      </w:r>
      <w:r>
        <w:rPr/>
        <w:t xml:space="preserve"> be treated as a substitute for qualification under the actual job profile.</w:t>
      </w:r>
    </w:p>
    <w:p>
      <w:pPr>
        <w:pStyle w:val="Heading3"/>
        <w:bidi w:val="0"/>
        <w:jc w:val="left"/>
        <w:rPr/>
      </w:pPr>
      <w:r>
        <w:rPr/>
        <w:t>9.3 Routed and multi-model profiles</w:t>
      </w:r>
    </w:p>
    <w:p>
      <w:pPr>
        <w:pStyle w:val="BodyText"/>
        <w:bidi w:val="0"/>
        <w:jc w:val="left"/>
        <w:rPr/>
      </w:pPr>
      <w:r>
        <w:rPr/>
        <w:t>If an operating profile can route among multiple models:</w:t>
      </w:r>
    </w:p>
    <w:p>
      <w:pPr>
        <w:pStyle w:val="BodyText"/>
        <w:numPr>
          <w:ilvl w:val="0"/>
          <w:numId w:val="20"/>
        </w:numPr>
        <w:tabs>
          <w:tab w:val="clear" w:pos="1134"/>
          <w:tab w:val="left" w:pos="709" w:leader="none"/>
        </w:tabs>
        <w:bidi w:val="0"/>
        <w:spacing w:before="0" w:after="0"/>
        <w:ind w:hanging="283" w:left="709"/>
        <w:jc w:val="left"/>
        <w:rPr/>
      </w:pPr>
      <w:r>
        <w:rPr/>
        <w:t xml:space="preserve">the qualification record </w:t>
      </w:r>
      <w:r>
        <w:rPr>
          <w:rStyle w:val="SourceText"/>
        </w:rPr>
        <w:t>MUST</w:t>
      </w:r>
      <w:r>
        <w:rPr/>
        <w:t xml:space="preserve"> identify the approved substitution set or routing policy version </w:t>
      </w:r>
    </w:p>
    <w:p>
      <w:pPr>
        <w:pStyle w:val="BodyText"/>
        <w:numPr>
          <w:ilvl w:val="0"/>
          <w:numId w:val="20"/>
        </w:numPr>
        <w:tabs>
          <w:tab w:val="clear" w:pos="1134"/>
          <w:tab w:val="left" w:pos="709" w:leader="none"/>
        </w:tabs>
        <w:bidi w:val="0"/>
        <w:spacing w:before="0" w:after="0"/>
        <w:ind w:hanging="283" w:left="709"/>
        <w:jc w:val="left"/>
        <w:rPr/>
      </w:pPr>
      <w:r>
        <w:rPr/>
        <w:t xml:space="preserve">every candidate </w:t>
      </w:r>
      <w:r>
        <w:rPr>
          <w:rStyle w:val="SourceText"/>
        </w:rPr>
        <w:t>MUST</w:t>
      </w:r>
      <w:r>
        <w:rPr/>
        <w:t xml:space="preserve"> satisfy the hard job and data constraints </w:t>
      </w:r>
    </w:p>
    <w:p>
      <w:pPr>
        <w:pStyle w:val="BodyText"/>
        <w:numPr>
          <w:ilvl w:val="0"/>
          <w:numId w:val="20"/>
        </w:numPr>
        <w:tabs>
          <w:tab w:val="clear" w:pos="1134"/>
          <w:tab w:val="left" w:pos="709" w:leader="none"/>
        </w:tabs>
        <w:bidi w:val="0"/>
        <w:spacing w:before="0" w:after="0"/>
        <w:ind w:hanging="283" w:left="709"/>
        <w:jc w:val="left"/>
        <w:rPr/>
      </w:pPr>
      <w:r>
        <w:rPr/>
        <w:t xml:space="preserve">evaluation </w:t>
      </w:r>
      <w:r>
        <w:rPr>
          <w:rStyle w:val="SourceText"/>
        </w:rPr>
        <w:t>MUST</w:t>
      </w:r>
      <w:r>
        <w:rPr/>
        <w:t xml:space="preserve"> cover the routing behavior, not only the best candidate </w:t>
      </w:r>
    </w:p>
    <w:p>
      <w:pPr>
        <w:pStyle w:val="BodyText"/>
        <w:numPr>
          <w:ilvl w:val="0"/>
          <w:numId w:val="20"/>
        </w:numPr>
        <w:tabs>
          <w:tab w:val="clear" w:pos="1134"/>
          <w:tab w:val="left" w:pos="709" w:leader="none"/>
        </w:tabs>
        <w:bidi w:val="0"/>
        <w:spacing w:before="0" w:after="0"/>
        <w:ind w:hanging="283" w:left="709"/>
        <w:jc w:val="left"/>
        <w:rPr/>
      </w:pPr>
      <w:r>
        <w:rPr/>
        <w:t xml:space="preserve">fallback behavior </w:t>
      </w:r>
      <w:r>
        <w:rPr>
          <w:rStyle w:val="SourceText"/>
        </w:rPr>
        <w:t>MUST</w:t>
      </w:r>
      <w:r>
        <w:rPr/>
        <w:t xml:space="preserve"> preserve the qualification's minimum floor </w:t>
      </w:r>
    </w:p>
    <w:p>
      <w:pPr>
        <w:pStyle w:val="BodyText"/>
        <w:numPr>
          <w:ilvl w:val="0"/>
          <w:numId w:val="20"/>
        </w:numPr>
        <w:tabs>
          <w:tab w:val="clear" w:pos="1134"/>
          <w:tab w:val="left" w:pos="709" w:leader="none"/>
        </w:tabs>
        <w:bidi w:val="0"/>
        <w:ind w:hanging="283" w:left="709"/>
        <w:jc w:val="left"/>
        <w:rPr/>
      </w:pPr>
      <w:r>
        <w:rPr/>
        <w:t xml:space="preserve">adding or changing a candidate </w:t>
      </w:r>
      <w:r>
        <w:rPr>
          <w:rStyle w:val="SourceText"/>
        </w:rPr>
        <w:t>MUST</w:t>
      </w:r>
      <w:r>
        <w:rPr/>
        <w:t xml:space="preserve"> trigger impact analysis and any required revalidation </w:t>
      </w:r>
    </w:p>
    <w:p>
      <w:pPr>
        <w:pStyle w:val="Heading2"/>
        <w:bidi w:val="0"/>
        <w:jc w:val="left"/>
        <w:rPr/>
      </w:pPr>
      <w:r>
        <w:rPr/>
        <w:t>10. Data Stewardship Requirements</w:t>
      </w:r>
    </w:p>
    <w:p>
      <w:pPr>
        <w:pStyle w:val="BodyText"/>
        <w:bidi w:val="0"/>
        <w:jc w:val="left"/>
        <w:rPr/>
      </w:pPr>
      <w:r>
        <w:rPr/>
        <w:t xml:space="preserve">Every qualification scheme involving organizational or external data </w:t>
      </w:r>
      <w:r>
        <w:rPr>
          <w:rStyle w:val="SourceText"/>
        </w:rPr>
        <w:t>MUST</w:t>
      </w:r>
      <w:r>
        <w:rPr/>
        <w:t xml:space="preserve"> identify:</w:t>
      </w:r>
    </w:p>
    <w:p>
      <w:pPr>
        <w:pStyle w:val="BodyText"/>
        <w:numPr>
          <w:ilvl w:val="0"/>
          <w:numId w:val="21"/>
        </w:numPr>
        <w:tabs>
          <w:tab w:val="clear" w:pos="1134"/>
          <w:tab w:val="left" w:pos="709" w:leader="none"/>
        </w:tabs>
        <w:bidi w:val="0"/>
        <w:spacing w:before="0" w:after="0"/>
        <w:ind w:hanging="283" w:left="709"/>
        <w:jc w:val="left"/>
        <w:rPr/>
      </w:pPr>
      <w:r>
        <w:rPr/>
        <w:t xml:space="preserve">accountable data owner or steward </w:t>
      </w:r>
    </w:p>
    <w:p>
      <w:pPr>
        <w:pStyle w:val="BodyText"/>
        <w:numPr>
          <w:ilvl w:val="0"/>
          <w:numId w:val="21"/>
        </w:numPr>
        <w:tabs>
          <w:tab w:val="clear" w:pos="1134"/>
          <w:tab w:val="left" w:pos="709" w:leader="none"/>
        </w:tabs>
        <w:bidi w:val="0"/>
        <w:spacing w:before="0" w:after="0"/>
        <w:ind w:hanging="283" w:left="709"/>
        <w:jc w:val="left"/>
        <w:rPr/>
      </w:pPr>
      <w:r>
        <w:rPr/>
        <w:t xml:space="preserve">data domain and classification </w:t>
      </w:r>
    </w:p>
    <w:p>
      <w:pPr>
        <w:pStyle w:val="BodyText"/>
        <w:numPr>
          <w:ilvl w:val="0"/>
          <w:numId w:val="21"/>
        </w:numPr>
        <w:tabs>
          <w:tab w:val="clear" w:pos="1134"/>
          <w:tab w:val="left" w:pos="709" w:leader="none"/>
        </w:tabs>
        <w:bidi w:val="0"/>
        <w:spacing w:before="0" w:after="0"/>
        <w:ind w:hanging="283" w:left="709"/>
        <w:jc w:val="left"/>
        <w:rPr/>
      </w:pPr>
      <w:r>
        <w:rPr/>
        <w:t xml:space="preserve">provenance and authoritative source </w:t>
      </w:r>
    </w:p>
    <w:p>
      <w:pPr>
        <w:pStyle w:val="BodyText"/>
        <w:numPr>
          <w:ilvl w:val="0"/>
          <w:numId w:val="21"/>
        </w:numPr>
        <w:tabs>
          <w:tab w:val="clear" w:pos="1134"/>
          <w:tab w:val="left" w:pos="709" w:leader="none"/>
        </w:tabs>
        <w:bidi w:val="0"/>
        <w:spacing w:before="0" w:after="0"/>
        <w:ind w:hanging="283" w:left="709"/>
        <w:jc w:val="left"/>
        <w:rPr/>
      </w:pPr>
      <w:r>
        <w:rPr/>
        <w:t xml:space="preserve">permitted purpose and prohibited reuse </w:t>
      </w:r>
    </w:p>
    <w:p>
      <w:pPr>
        <w:pStyle w:val="BodyText"/>
        <w:numPr>
          <w:ilvl w:val="0"/>
          <w:numId w:val="21"/>
        </w:numPr>
        <w:tabs>
          <w:tab w:val="clear" w:pos="1134"/>
          <w:tab w:val="left" w:pos="709" w:leader="none"/>
        </w:tabs>
        <w:bidi w:val="0"/>
        <w:spacing w:before="0" w:after="0"/>
        <w:ind w:hanging="283" w:left="709"/>
        <w:jc w:val="left"/>
        <w:rPr/>
      </w:pPr>
      <w:r>
        <w:rPr/>
        <w:t xml:space="preserve">minimum quality and completeness requirements </w:t>
      </w:r>
    </w:p>
    <w:p>
      <w:pPr>
        <w:pStyle w:val="BodyText"/>
        <w:numPr>
          <w:ilvl w:val="0"/>
          <w:numId w:val="21"/>
        </w:numPr>
        <w:tabs>
          <w:tab w:val="clear" w:pos="1134"/>
          <w:tab w:val="left" w:pos="709" w:leader="none"/>
        </w:tabs>
        <w:bidi w:val="0"/>
        <w:spacing w:before="0" w:after="0"/>
        <w:ind w:hanging="283" w:left="709"/>
        <w:jc w:val="left"/>
        <w:rPr/>
      </w:pPr>
      <w:r>
        <w:rPr/>
        <w:t xml:space="preserve">freshness or verification requirements </w:t>
      </w:r>
    </w:p>
    <w:p>
      <w:pPr>
        <w:pStyle w:val="BodyText"/>
        <w:numPr>
          <w:ilvl w:val="0"/>
          <w:numId w:val="21"/>
        </w:numPr>
        <w:tabs>
          <w:tab w:val="clear" w:pos="1134"/>
          <w:tab w:val="left" w:pos="709" w:leader="none"/>
        </w:tabs>
        <w:bidi w:val="0"/>
        <w:spacing w:before="0" w:after="0"/>
        <w:ind w:hanging="283" w:left="709"/>
        <w:jc w:val="left"/>
        <w:rPr/>
      </w:pPr>
      <w:r>
        <w:rPr/>
        <w:t xml:space="preserve">representativeness and known coverage gaps </w:t>
      </w:r>
    </w:p>
    <w:p>
      <w:pPr>
        <w:pStyle w:val="BodyText"/>
        <w:numPr>
          <w:ilvl w:val="0"/>
          <w:numId w:val="21"/>
        </w:numPr>
        <w:tabs>
          <w:tab w:val="clear" w:pos="1134"/>
          <w:tab w:val="left" w:pos="709" w:leader="none"/>
        </w:tabs>
        <w:bidi w:val="0"/>
        <w:spacing w:before="0" w:after="0"/>
        <w:ind w:hanging="283" w:left="709"/>
        <w:jc w:val="left"/>
        <w:rPr/>
      </w:pPr>
      <w:r>
        <w:rPr/>
        <w:t xml:space="preserve">residency and cross-boundary constraints </w:t>
      </w:r>
    </w:p>
    <w:p>
      <w:pPr>
        <w:pStyle w:val="BodyText"/>
        <w:numPr>
          <w:ilvl w:val="0"/>
          <w:numId w:val="21"/>
        </w:numPr>
        <w:tabs>
          <w:tab w:val="clear" w:pos="1134"/>
          <w:tab w:val="left" w:pos="709" w:leader="none"/>
        </w:tabs>
        <w:bidi w:val="0"/>
        <w:spacing w:before="0" w:after="0"/>
        <w:ind w:hanging="283" w:left="709"/>
        <w:jc w:val="left"/>
        <w:rPr/>
      </w:pPr>
      <w:r>
        <w:rPr/>
        <w:t xml:space="preserve">minimization, retention, deletion, and evidence-preservation rules </w:t>
      </w:r>
    </w:p>
    <w:p>
      <w:pPr>
        <w:pStyle w:val="BodyText"/>
        <w:numPr>
          <w:ilvl w:val="0"/>
          <w:numId w:val="21"/>
        </w:numPr>
        <w:tabs>
          <w:tab w:val="clear" w:pos="1134"/>
          <w:tab w:val="left" w:pos="709" w:leader="none"/>
        </w:tabs>
        <w:bidi w:val="0"/>
        <w:ind w:hanging="283" w:left="709"/>
        <w:jc w:val="left"/>
        <w:rPr/>
      </w:pPr>
      <w:r>
        <w:rPr/>
        <w:t xml:space="preserve">incident and correction path </w:t>
      </w:r>
    </w:p>
    <w:p>
      <w:pPr>
        <w:pStyle w:val="Heading3"/>
        <w:bidi w:val="0"/>
        <w:jc w:val="left"/>
        <w:rPr/>
      </w:pPr>
      <w:r>
        <w:rPr/>
        <w:t>10.1 Data quality is part of job fitness</w:t>
      </w:r>
    </w:p>
    <w:p>
      <w:pPr>
        <w:pStyle w:val="BodyText"/>
        <w:bidi w:val="0"/>
        <w:jc w:val="left"/>
        <w:rPr/>
      </w:pPr>
      <w:r>
        <w:rPr/>
        <w:t xml:space="preserve">An evaluation </w:t>
      </w:r>
      <w:r>
        <w:rPr>
          <w:rStyle w:val="SourceText"/>
        </w:rPr>
        <w:t>MUST NOT</w:t>
      </w:r>
      <w:r>
        <w:rPr/>
        <w:t xml:space="preserve"> claim job fitness when its test data is materially unlike the intended operational data without declaring that limitation.</w:t>
      </w:r>
    </w:p>
    <w:p>
      <w:pPr>
        <w:pStyle w:val="BodyText"/>
        <w:bidi w:val="0"/>
        <w:jc w:val="left"/>
        <w:rPr/>
      </w:pPr>
      <w:r>
        <w:rPr/>
        <w:t xml:space="preserve">Where job performance depends on current facts, stale-but-plausible data </w:t>
      </w:r>
      <w:r>
        <w:rPr>
          <w:rStyle w:val="SourceText"/>
        </w:rPr>
        <w:t>MUST</w:t>
      </w:r>
      <w:r>
        <w:rPr/>
        <w:t xml:space="preserve"> be treated as a distinct risk. The qualification scheme </w:t>
      </w:r>
      <w:r>
        <w:rPr>
          <w:rStyle w:val="SourceText"/>
        </w:rPr>
        <w:t>SHOULD</w:t>
      </w:r>
      <w:r>
        <w:rPr/>
        <w:t xml:space="preserve"> test freshness detection, source verification, supersession, and abstention or escalation behavior.</w:t>
      </w:r>
    </w:p>
    <w:p>
      <w:pPr>
        <w:pStyle w:val="Heading3"/>
        <w:bidi w:val="0"/>
        <w:jc w:val="left"/>
        <w:rPr/>
      </w:pPr>
      <w:r>
        <w:rPr/>
        <w:t>10.2 Sensitive evaluation evidence</w:t>
      </w:r>
    </w:p>
    <w:p>
      <w:pPr>
        <w:pStyle w:val="BodyText"/>
        <w:bidi w:val="0"/>
        <w:jc w:val="left"/>
        <w:rPr/>
      </w:pPr>
      <w:r>
        <w:rPr/>
        <w:t xml:space="preserve">Qualification evidence </w:t>
      </w:r>
      <w:r>
        <w:rPr>
          <w:rStyle w:val="SourceText"/>
        </w:rPr>
        <w:t>MUST</w:t>
      </w:r>
      <w:r>
        <w:rPr/>
        <w:t xml:space="preserve"> be minimized. Public badges or verifier responses </w:t>
      </w:r>
      <w:r>
        <w:rPr>
          <w:rStyle w:val="SourceText"/>
        </w:rPr>
        <w:t>MUST NOT</w:t>
      </w:r>
      <w:r>
        <w:rPr/>
        <w:t xml:space="preserve"> disclose personal, confidential, restricted, or regulated evaluation data merely to prove that an assessment occurred.</w:t>
      </w:r>
    </w:p>
    <w:p>
      <w:pPr>
        <w:pStyle w:val="BodyText"/>
        <w:bidi w:val="0"/>
        <w:jc w:val="left"/>
        <w:rPr/>
      </w:pPr>
      <w:r>
        <w:rPr/>
        <w:t xml:space="preserve">A public assertion </w:t>
      </w:r>
      <w:r>
        <w:rPr>
          <w:rStyle w:val="SourceText"/>
        </w:rPr>
        <w:t>SHOULD</w:t>
      </w:r>
      <w:r>
        <w:rPr/>
        <w:t xml:space="preserve"> expose:</w:t>
      </w:r>
    </w:p>
    <w:p>
      <w:pPr>
        <w:pStyle w:val="BodyText"/>
        <w:numPr>
          <w:ilvl w:val="0"/>
          <w:numId w:val="22"/>
        </w:numPr>
        <w:tabs>
          <w:tab w:val="clear" w:pos="1134"/>
          <w:tab w:val="left" w:pos="709" w:leader="none"/>
        </w:tabs>
        <w:bidi w:val="0"/>
        <w:spacing w:before="0" w:after="0"/>
        <w:ind w:hanging="283" w:left="709"/>
        <w:jc w:val="left"/>
        <w:rPr/>
      </w:pPr>
      <w:r>
        <w:rPr/>
        <w:t xml:space="preserve">the evidence type </w:t>
      </w:r>
    </w:p>
    <w:p>
      <w:pPr>
        <w:pStyle w:val="BodyText"/>
        <w:numPr>
          <w:ilvl w:val="0"/>
          <w:numId w:val="22"/>
        </w:numPr>
        <w:tabs>
          <w:tab w:val="clear" w:pos="1134"/>
          <w:tab w:val="left" w:pos="709" w:leader="none"/>
        </w:tabs>
        <w:bidi w:val="0"/>
        <w:spacing w:before="0" w:after="0"/>
        <w:ind w:hanging="283" w:left="709"/>
        <w:jc w:val="left"/>
        <w:rPr/>
      </w:pPr>
      <w:r>
        <w:rPr/>
        <w:t xml:space="preserve">assessor or issuer </w:t>
      </w:r>
    </w:p>
    <w:p>
      <w:pPr>
        <w:pStyle w:val="BodyText"/>
        <w:numPr>
          <w:ilvl w:val="0"/>
          <w:numId w:val="22"/>
        </w:numPr>
        <w:tabs>
          <w:tab w:val="clear" w:pos="1134"/>
          <w:tab w:val="left" w:pos="709" w:leader="none"/>
        </w:tabs>
        <w:bidi w:val="0"/>
        <w:spacing w:before="0" w:after="0"/>
        <w:ind w:hanging="283" w:left="709"/>
        <w:jc w:val="left"/>
        <w:rPr/>
      </w:pPr>
      <w:r>
        <w:rPr/>
        <w:t xml:space="preserve">methodology identifier </w:t>
      </w:r>
    </w:p>
    <w:p>
      <w:pPr>
        <w:pStyle w:val="BodyText"/>
        <w:numPr>
          <w:ilvl w:val="0"/>
          <w:numId w:val="22"/>
        </w:numPr>
        <w:tabs>
          <w:tab w:val="clear" w:pos="1134"/>
          <w:tab w:val="left" w:pos="709" w:leader="none"/>
        </w:tabs>
        <w:bidi w:val="0"/>
        <w:spacing w:before="0" w:after="0"/>
        <w:ind w:hanging="283" w:left="709"/>
        <w:jc w:val="left"/>
        <w:rPr/>
      </w:pPr>
      <w:r>
        <w:rPr/>
        <w:t xml:space="preserve">date and validity </w:t>
      </w:r>
    </w:p>
    <w:p>
      <w:pPr>
        <w:pStyle w:val="BodyText"/>
        <w:numPr>
          <w:ilvl w:val="0"/>
          <w:numId w:val="22"/>
        </w:numPr>
        <w:tabs>
          <w:tab w:val="clear" w:pos="1134"/>
          <w:tab w:val="left" w:pos="709" w:leader="none"/>
        </w:tabs>
        <w:bidi w:val="0"/>
        <w:spacing w:before="0" w:after="0"/>
        <w:ind w:hanging="283" w:left="709"/>
        <w:jc w:val="left"/>
        <w:rPr/>
      </w:pPr>
      <w:r>
        <w:rPr/>
        <w:t xml:space="preserve">result and limitations </w:t>
      </w:r>
    </w:p>
    <w:p>
      <w:pPr>
        <w:pStyle w:val="BodyText"/>
        <w:numPr>
          <w:ilvl w:val="0"/>
          <w:numId w:val="22"/>
        </w:numPr>
        <w:tabs>
          <w:tab w:val="clear" w:pos="1134"/>
          <w:tab w:val="left" w:pos="709" w:leader="none"/>
        </w:tabs>
        <w:bidi w:val="0"/>
        <w:ind w:hanging="283" w:left="709"/>
        <w:jc w:val="left"/>
        <w:rPr/>
      </w:pPr>
      <w:r>
        <w:rPr/>
        <w:t xml:space="preserve">protected evidence reference </w:t>
      </w:r>
    </w:p>
    <w:p>
      <w:pPr>
        <w:pStyle w:val="BodyText"/>
        <w:bidi w:val="0"/>
        <w:jc w:val="left"/>
        <w:rPr/>
      </w:pPr>
      <w:r>
        <w:rPr/>
        <w:t xml:space="preserve">It </w:t>
      </w:r>
      <w:r>
        <w:rPr>
          <w:rStyle w:val="SourceText"/>
        </w:rPr>
        <w:t>SHOULD NOT</w:t>
      </w:r>
      <w:r>
        <w:rPr/>
        <w:t xml:space="preserve"> expose the underlying sensitive records.</w:t>
      </w:r>
    </w:p>
    <w:p>
      <w:pPr>
        <w:pStyle w:val="Heading2"/>
        <w:bidi w:val="0"/>
        <w:jc w:val="left"/>
        <w:rPr/>
      </w:pPr>
      <w:r>
        <w:rPr/>
        <w:t>11. Qualification Scheme and Evaluation</w:t>
      </w:r>
    </w:p>
    <w:p>
      <w:pPr>
        <w:pStyle w:val="BodyText"/>
        <w:bidi w:val="0"/>
        <w:jc w:val="left"/>
        <w:rPr/>
      </w:pPr>
      <w:r>
        <w:rPr/>
        <w:t xml:space="preserve">A qualification scheme </w:t>
      </w:r>
      <w:r>
        <w:rPr>
          <w:rStyle w:val="SourceText"/>
        </w:rPr>
        <w:t>MUST</w:t>
      </w:r>
      <w:r>
        <w:rPr/>
        <w:t xml:space="preserve"> define:</w:t>
      </w:r>
    </w:p>
    <w:p>
      <w:pPr>
        <w:pStyle w:val="BodyText"/>
        <w:numPr>
          <w:ilvl w:val="0"/>
          <w:numId w:val="23"/>
        </w:numPr>
        <w:tabs>
          <w:tab w:val="clear" w:pos="1134"/>
          <w:tab w:val="left" w:pos="709" w:leader="none"/>
        </w:tabs>
        <w:bidi w:val="0"/>
        <w:spacing w:before="0" w:after="0"/>
        <w:ind w:hanging="283" w:left="709"/>
        <w:jc w:val="left"/>
        <w:rPr/>
      </w:pPr>
      <w:r>
        <w:rPr/>
        <w:t xml:space="preserve">scheme owner and decision authority </w:t>
      </w:r>
    </w:p>
    <w:p>
      <w:pPr>
        <w:pStyle w:val="BodyText"/>
        <w:numPr>
          <w:ilvl w:val="0"/>
          <w:numId w:val="23"/>
        </w:numPr>
        <w:tabs>
          <w:tab w:val="clear" w:pos="1134"/>
          <w:tab w:val="left" w:pos="709" w:leader="none"/>
        </w:tabs>
        <w:bidi w:val="0"/>
        <w:spacing w:before="0" w:after="0"/>
        <w:ind w:hanging="283" w:left="709"/>
        <w:jc w:val="left"/>
        <w:rPr/>
      </w:pPr>
      <w:r>
        <w:rPr/>
        <w:t xml:space="preserve">qualification subject and requested scope </w:t>
      </w:r>
    </w:p>
    <w:p>
      <w:pPr>
        <w:pStyle w:val="BodyText"/>
        <w:numPr>
          <w:ilvl w:val="0"/>
          <w:numId w:val="23"/>
        </w:numPr>
        <w:tabs>
          <w:tab w:val="clear" w:pos="1134"/>
          <w:tab w:val="left" w:pos="709" w:leader="none"/>
        </w:tabs>
        <w:bidi w:val="0"/>
        <w:spacing w:before="0" w:after="0"/>
        <w:ind w:hanging="283" w:left="709"/>
        <w:jc w:val="left"/>
        <w:rPr/>
      </w:pPr>
      <w:r>
        <w:rPr/>
        <w:t xml:space="preserve">prerequisites </w:t>
      </w:r>
    </w:p>
    <w:p>
      <w:pPr>
        <w:pStyle w:val="BodyText"/>
        <w:numPr>
          <w:ilvl w:val="0"/>
          <w:numId w:val="23"/>
        </w:numPr>
        <w:tabs>
          <w:tab w:val="clear" w:pos="1134"/>
          <w:tab w:val="left" w:pos="709" w:leader="none"/>
        </w:tabs>
        <w:bidi w:val="0"/>
        <w:spacing w:before="0" w:after="0"/>
        <w:ind w:hanging="283" w:left="709"/>
        <w:jc w:val="left"/>
        <w:rPr/>
      </w:pPr>
      <w:r>
        <w:rPr/>
        <w:t xml:space="preserve">assessment plan and scenario set </w:t>
      </w:r>
    </w:p>
    <w:p>
      <w:pPr>
        <w:pStyle w:val="BodyText"/>
        <w:numPr>
          <w:ilvl w:val="0"/>
          <w:numId w:val="23"/>
        </w:numPr>
        <w:tabs>
          <w:tab w:val="clear" w:pos="1134"/>
          <w:tab w:val="left" w:pos="709" w:leader="none"/>
        </w:tabs>
        <w:bidi w:val="0"/>
        <w:spacing w:before="0" w:after="0"/>
        <w:ind w:hanging="283" w:left="709"/>
        <w:jc w:val="left"/>
        <w:rPr/>
      </w:pPr>
      <w:r>
        <w:rPr/>
        <w:t xml:space="preserve">data and environment requirements </w:t>
      </w:r>
    </w:p>
    <w:p>
      <w:pPr>
        <w:pStyle w:val="BodyText"/>
        <w:numPr>
          <w:ilvl w:val="0"/>
          <w:numId w:val="23"/>
        </w:numPr>
        <w:tabs>
          <w:tab w:val="clear" w:pos="1134"/>
          <w:tab w:val="left" w:pos="709" w:leader="none"/>
        </w:tabs>
        <w:bidi w:val="0"/>
        <w:spacing w:before="0" w:after="0"/>
        <w:ind w:hanging="283" w:left="709"/>
        <w:jc w:val="left"/>
        <w:rPr/>
      </w:pPr>
      <w:r>
        <w:rPr/>
        <w:t xml:space="preserve">scoring, uncertainty, and acceptance rules </w:t>
      </w:r>
    </w:p>
    <w:p>
      <w:pPr>
        <w:pStyle w:val="BodyText"/>
        <w:numPr>
          <w:ilvl w:val="0"/>
          <w:numId w:val="23"/>
        </w:numPr>
        <w:tabs>
          <w:tab w:val="clear" w:pos="1134"/>
          <w:tab w:val="left" w:pos="709" w:leader="none"/>
        </w:tabs>
        <w:bidi w:val="0"/>
        <w:spacing w:before="0" w:after="0"/>
        <w:ind w:hanging="283" w:left="709"/>
        <w:jc w:val="left"/>
        <w:rPr/>
      </w:pPr>
      <w:r>
        <w:rPr/>
        <w:t xml:space="preserve">critical failures that override aggregate scores </w:t>
      </w:r>
    </w:p>
    <w:p>
      <w:pPr>
        <w:pStyle w:val="BodyText"/>
        <w:numPr>
          <w:ilvl w:val="0"/>
          <w:numId w:val="23"/>
        </w:numPr>
        <w:tabs>
          <w:tab w:val="clear" w:pos="1134"/>
          <w:tab w:val="left" w:pos="709" w:leader="none"/>
        </w:tabs>
        <w:bidi w:val="0"/>
        <w:spacing w:before="0" w:after="0"/>
        <w:ind w:hanging="283" w:left="709"/>
        <w:jc w:val="left"/>
        <w:rPr/>
      </w:pPr>
      <w:r>
        <w:rPr/>
        <w:t xml:space="preserve">human review and appeal path </w:t>
      </w:r>
    </w:p>
    <w:p>
      <w:pPr>
        <w:pStyle w:val="BodyText"/>
        <w:numPr>
          <w:ilvl w:val="0"/>
          <w:numId w:val="23"/>
        </w:numPr>
        <w:tabs>
          <w:tab w:val="clear" w:pos="1134"/>
          <w:tab w:val="left" w:pos="709" w:leader="none"/>
        </w:tabs>
        <w:bidi w:val="0"/>
        <w:spacing w:before="0" w:after="0"/>
        <w:ind w:hanging="283" w:left="709"/>
        <w:jc w:val="left"/>
        <w:rPr/>
      </w:pPr>
      <w:r>
        <w:rPr/>
        <w:t xml:space="preserve">evidence and reproducibility requirements </w:t>
      </w:r>
    </w:p>
    <w:p>
      <w:pPr>
        <w:pStyle w:val="BodyText"/>
        <w:numPr>
          <w:ilvl w:val="0"/>
          <w:numId w:val="23"/>
        </w:numPr>
        <w:tabs>
          <w:tab w:val="clear" w:pos="1134"/>
          <w:tab w:val="left" w:pos="709" w:leader="none"/>
        </w:tabs>
        <w:bidi w:val="0"/>
        <w:spacing w:before="0" w:after="0"/>
        <w:ind w:hanging="283" w:left="709"/>
        <w:jc w:val="left"/>
        <w:rPr/>
      </w:pPr>
      <w:r>
        <w:rPr/>
        <w:t xml:space="preserve">validity period, surveillance, and revalidation triggers </w:t>
      </w:r>
    </w:p>
    <w:p>
      <w:pPr>
        <w:pStyle w:val="BodyText"/>
        <w:numPr>
          <w:ilvl w:val="0"/>
          <w:numId w:val="23"/>
        </w:numPr>
        <w:tabs>
          <w:tab w:val="clear" w:pos="1134"/>
          <w:tab w:val="left" w:pos="709" w:leader="none"/>
        </w:tabs>
        <w:bidi w:val="0"/>
        <w:ind w:hanging="283" w:left="709"/>
        <w:jc w:val="left"/>
        <w:rPr/>
      </w:pPr>
      <w:r>
        <w:rPr/>
        <w:t xml:space="preserve">suspension and revocation rules </w:t>
      </w:r>
    </w:p>
    <w:p>
      <w:pPr>
        <w:pStyle w:val="Heading3"/>
        <w:bidi w:val="0"/>
        <w:jc w:val="left"/>
        <w:rPr/>
      </w:pPr>
      <w:r>
        <w:rPr/>
        <w:t>11.1 Representative evaluation</w:t>
      </w:r>
    </w:p>
    <w:p>
      <w:pPr>
        <w:pStyle w:val="BodyText"/>
        <w:bidi w:val="0"/>
        <w:jc w:val="left"/>
        <w:rPr/>
      </w:pPr>
      <w:r>
        <w:rPr/>
        <w:t xml:space="preserve">The assessment plan </w:t>
      </w:r>
      <w:r>
        <w:rPr>
          <w:rStyle w:val="SourceText"/>
        </w:rPr>
        <w:t>MUST</w:t>
      </w:r>
      <w:r>
        <w:rPr/>
        <w:t xml:space="preserve"> include conditions similar to the intended deployment context.</w:t>
      </w:r>
    </w:p>
    <w:p>
      <w:pPr>
        <w:pStyle w:val="BodyText"/>
        <w:bidi w:val="0"/>
        <w:jc w:val="left"/>
        <w:rPr/>
      </w:pPr>
      <w:r>
        <w:rPr/>
        <w:t xml:space="preserve">It </w:t>
      </w:r>
      <w:r>
        <w:rPr>
          <w:rStyle w:val="SourceText"/>
        </w:rPr>
        <w:t>SHOULD</w:t>
      </w:r>
      <w:r>
        <w:rPr/>
        <w:t xml:space="preserve"> cover:</w:t>
      </w:r>
    </w:p>
    <w:p>
      <w:pPr>
        <w:pStyle w:val="BodyText"/>
        <w:numPr>
          <w:ilvl w:val="0"/>
          <w:numId w:val="24"/>
        </w:numPr>
        <w:tabs>
          <w:tab w:val="clear" w:pos="1134"/>
          <w:tab w:val="left" w:pos="709" w:leader="none"/>
        </w:tabs>
        <w:bidi w:val="0"/>
        <w:spacing w:before="0" w:after="0"/>
        <w:ind w:hanging="283" w:left="709"/>
        <w:jc w:val="left"/>
        <w:rPr/>
      </w:pPr>
      <w:r>
        <w:rPr/>
        <w:t xml:space="preserve">ordinary job tasks </w:t>
      </w:r>
    </w:p>
    <w:p>
      <w:pPr>
        <w:pStyle w:val="BodyText"/>
        <w:numPr>
          <w:ilvl w:val="0"/>
          <w:numId w:val="24"/>
        </w:numPr>
        <w:tabs>
          <w:tab w:val="clear" w:pos="1134"/>
          <w:tab w:val="left" w:pos="709" w:leader="none"/>
        </w:tabs>
        <w:bidi w:val="0"/>
        <w:spacing w:before="0" w:after="0"/>
        <w:ind w:hanging="283" w:left="709"/>
        <w:jc w:val="left"/>
        <w:rPr/>
      </w:pPr>
      <w:r>
        <w:rPr/>
        <w:t xml:space="preserve">boundary and refusal cases </w:t>
      </w:r>
    </w:p>
    <w:p>
      <w:pPr>
        <w:pStyle w:val="BodyText"/>
        <w:numPr>
          <w:ilvl w:val="0"/>
          <w:numId w:val="24"/>
        </w:numPr>
        <w:tabs>
          <w:tab w:val="clear" w:pos="1134"/>
          <w:tab w:val="left" w:pos="709" w:leader="none"/>
        </w:tabs>
        <w:bidi w:val="0"/>
        <w:spacing w:before="0" w:after="0"/>
        <w:ind w:hanging="283" w:left="709"/>
        <w:jc w:val="left"/>
        <w:rPr/>
      </w:pPr>
      <w:r>
        <w:rPr/>
        <w:t xml:space="preserve">incomplete, ambiguous, and conflicting information </w:t>
      </w:r>
    </w:p>
    <w:p>
      <w:pPr>
        <w:pStyle w:val="BodyText"/>
        <w:numPr>
          <w:ilvl w:val="0"/>
          <w:numId w:val="24"/>
        </w:numPr>
        <w:tabs>
          <w:tab w:val="clear" w:pos="1134"/>
          <w:tab w:val="left" w:pos="709" w:leader="none"/>
        </w:tabs>
        <w:bidi w:val="0"/>
        <w:spacing w:before="0" w:after="0"/>
        <w:ind w:hanging="283" w:left="709"/>
        <w:jc w:val="left"/>
        <w:rPr/>
      </w:pPr>
      <w:r>
        <w:rPr/>
        <w:t xml:space="preserve">tool failure and partial completion </w:t>
      </w:r>
    </w:p>
    <w:p>
      <w:pPr>
        <w:pStyle w:val="BodyText"/>
        <w:numPr>
          <w:ilvl w:val="0"/>
          <w:numId w:val="24"/>
        </w:numPr>
        <w:tabs>
          <w:tab w:val="clear" w:pos="1134"/>
          <w:tab w:val="left" w:pos="709" w:leader="none"/>
        </w:tabs>
        <w:bidi w:val="0"/>
        <w:spacing w:before="0" w:after="0"/>
        <w:ind w:hanging="283" w:left="709"/>
        <w:jc w:val="left"/>
        <w:rPr/>
      </w:pPr>
      <w:r>
        <w:rPr/>
        <w:t xml:space="preserve">unsafe or unauthorized requests </w:t>
      </w:r>
    </w:p>
    <w:p>
      <w:pPr>
        <w:pStyle w:val="BodyText"/>
        <w:numPr>
          <w:ilvl w:val="0"/>
          <w:numId w:val="24"/>
        </w:numPr>
        <w:tabs>
          <w:tab w:val="clear" w:pos="1134"/>
          <w:tab w:val="left" w:pos="709" w:leader="none"/>
        </w:tabs>
        <w:bidi w:val="0"/>
        <w:spacing w:before="0" w:after="0"/>
        <w:ind w:hanging="283" w:left="709"/>
        <w:jc w:val="left"/>
        <w:rPr/>
      </w:pPr>
      <w:r>
        <w:rPr/>
        <w:t xml:space="preserve">relevant data classifications </w:t>
      </w:r>
    </w:p>
    <w:p>
      <w:pPr>
        <w:pStyle w:val="BodyText"/>
        <w:numPr>
          <w:ilvl w:val="0"/>
          <w:numId w:val="24"/>
        </w:numPr>
        <w:tabs>
          <w:tab w:val="clear" w:pos="1134"/>
          <w:tab w:val="left" w:pos="709" w:leader="none"/>
        </w:tabs>
        <w:bidi w:val="0"/>
        <w:spacing w:before="0" w:after="0"/>
        <w:ind w:hanging="283" w:left="709"/>
        <w:jc w:val="left"/>
        <w:rPr/>
      </w:pPr>
      <w:r>
        <w:rPr/>
        <w:t xml:space="preserve">escalation and handoff </w:t>
      </w:r>
    </w:p>
    <w:p>
      <w:pPr>
        <w:pStyle w:val="BodyText"/>
        <w:numPr>
          <w:ilvl w:val="0"/>
          <w:numId w:val="24"/>
        </w:numPr>
        <w:tabs>
          <w:tab w:val="clear" w:pos="1134"/>
          <w:tab w:val="left" w:pos="709" w:leader="none"/>
        </w:tabs>
        <w:bidi w:val="0"/>
        <w:spacing w:before="0" w:after="0"/>
        <w:ind w:hanging="283" w:left="709"/>
        <w:jc w:val="left"/>
        <w:rPr/>
      </w:pPr>
      <w:r>
        <w:rPr/>
        <w:t xml:space="preserve">repeated or long-horizon work where the job requires it </w:t>
      </w:r>
    </w:p>
    <w:p>
      <w:pPr>
        <w:pStyle w:val="BodyText"/>
        <w:numPr>
          <w:ilvl w:val="0"/>
          <w:numId w:val="24"/>
        </w:numPr>
        <w:tabs>
          <w:tab w:val="clear" w:pos="1134"/>
          <w:tab w:val="left" w:pos="709" w:leader="none"/>
        </w:tabs>
        <w:bidi w:val="0"/>
        <w:ind w:hanging="283" w:left="709"/>
        <w:jc w:val="left"/>
        <w:rPr/>
      </w:pPr>
      <w:r>
        <w:rPr/>
        <w:t xml:space="preserve">adversarial or manipulated inputs appropriate to the risk </w:t>
      </w:r>
    </w:p>
    <w:p>
      <w:pPr>
        <w:pStyle w:val="Heading3"/>
        <w:bidi w:val="0"/>
        <w:jc w:val="left"/>
        <w:rPr/>
      </w:pPr>
      <w:r>
        <w:rPr/>
        <w:t>11.2 Job-specific measures</w:t>
      </w:r>
    </w:p>
    <w:p>
      <w:pPr>
        <w:pStyle w:val="BodyText"/>
        <w:bidi w:val="0"/>
        <w:jc w:val="left"/>
        <w:rPr/>
      </w:pPr>
      <w:r>
        <w:rPr/>
        <w:t xml:space="preserve">Measures </w:t>
      </w:r>
      <w:r>
        <w:rPr>
          <w:rStyle w:val="SourceText"/>
        </w:rPr>
        <w:t>MUST</w:t>
      </w:r>
      <w:r>
        <w:rPr/>
        <w:t xml:space="preserve"> derive from the job's outcomes and risks.</w:t>
      </w:r>
    </w:p>
    <w:p>
      <w:pPr>
        <w:pStyle w:val="BodyText"/>
        <w:bidi w:val="0"/>
        <w:jc w:val="left"/>
        <w:rPr/>
      </w:pPr>
      <w:r>
        <w:rPr/>
        <w:t xml:space="preserve">They </w:t>
      </w:r>
      <w:r>
        <w:rPr>
          <w:rStyle w:val="SourceText"/>
        </w:rPr>
        <w:t>MAY</w:t>
      </w:r>
      <w:r>
        <w:rPr/>
        <w:t xml:space="preserve"> include:</w:t>
      </w:r>
    </w:p>
    <w:p>
      <w:pPr>
        <w:pStyle w:val="BodyText"/>
        <w:numPr>
          <w:ilvl w:val="0"/>
          <w:numId w:val="25"/>
        </w:numPr>
        <w:tabs>
          <w:tab w:val="clear" w:pos="1134"/>
          <w:tab w:val="left" w:pos="709" w:leader="none"/>
        </w:tabs>
        <w:bidi w:val="0"/>
        <w:spacing w:before="0" w:after="0"/>
        <w:ind w:hanging="283" w:left="709"/>
        <w:jc w:val="left"/>
        <w:rPr/>
      </w:pPr>
      <w:r>
        <w:rPr/>
        <w:t xml:space="preserve">correctness </w:t>
      </w:r>
    </w:p>
    <w:p>
      <w:pPr>
        <w:pStyle w:val="BodyText"/>
        <w:numPr>
          <w:ilvl w:val="0"/>
          <w:numId w:val="25"/>
        </w:numPr>
        <w:tabs>
          <w:tab w:val="clear" w:pos="1134"/>
          <w:tab w:val="left" w:pos="709" w:leader="none"/>
        </w:tabs>
        <w:bidi w:val="0"/>
        <w:spacing w:before="0" w:after="0"/>
        <w:ind w:hanging="283" w:left="709"/>
        <w:jc w:val="left"/>
        <w:rPr/>
      </w:pPr>
      <w:r>
        <w:rPr/>
        <w:t xml:space="preserve">completeness </w:t>
      </w:r>
    </w:p>
    <w:p>
      <w:pPr>
        <w:pStyle w:val="BodyText"/>
        <w:numPr>
          <w:ilvl w:val="0"/>
          <w:numId w:val="25"/>
        </w:numPr>
        <w:tabs>
          <w:tab w:val="clear" w:pos="1134"/>
          <w:tab w:val="left" w:pos="709" w:leader="none"/>
        </w:tabs>
        <w:bidi w:val="0"/>
        <w:spacing w:before="0" w:after="0"/>
        <w:ind w:hanging="283" w:left="709"/>
        <w:jc w:val="left"/>
        <w:rPr/>
      </w:pPr>
      <w:r>
        <w:rPr/>
        <w:t xml:space="preserve">timeliness </w:t>
      </w:r>
    </w:p>
    <w:p>
      <w:pPr>
        <w:pStyle w:val="BodyText"/>
        <w:numPr>
          <w:ilvl w:val="0"/>
          <w:numId w:val="25"/>
        </w:numPr>
        <w:tabs>
          <w:tab w:val="clear" w:pos="1134"/>
          <w:tab w:val="left" w:pos="709" w:leader="none"/>
        </w:tabs>
        <w:bidi w:val="0"/>
        <w:spacing w:before="0" w:after="0"/>
        <w:ind w:hanging="283" w:left="709"/>
        <w:jc w:val="left"/>
        <w:rPr/>
      </w:pPr>
      <w:r>
        <w:rPr/>
        <w:t xml:space="preserve">evidence quality </w:t>
      </w:r>
    </w:p>
    <w:p>
      <w:pPr>
        <w:pStyle w:val="BodyText"/>
        <w:numPr>
          <w:ilvl w:val="0"/>
          <w:numId w:val="25"/>
        </w:numPr>
        <w:tabs>
          <w:tab w:val="clear" w:pos="1134"/>
          <w:tab w:val="left" w:pos="709" w:leader="none"/>
        </w:tabs>
        <w:bidi w:val="0"/>
        <w:spacing w:before="0" w:after="0"/>
        <w:ind w:hanging="283" w:left="709"/>
        <w:jc w:val="left"/>
        <w:rPr/>
      </w:pPr>
      <w:r>
        <w:rPr/>
        <w:t xml:space="preserve">policy compliance </w:t>
      </w:r>
    </w:p>
    <w:p>
      <w:pPr>
        <w:pStyle w:val="BodyText"/>
        <w:numPr>
          <w:ilvl w:val="0"/>
          <w:numId w:val="25"/>
        </w:numPr>
        <w:tabs>
          <w:tab w:val="clear" w:pos="1134"/>
          <w:tab w:val="left" w:pos="709" w:leader="none"/>
        </w:tabs>
        <w:bidi w:val="0"/>
        <w:spacing w:before="0" w:after="0"/>
        <w:ind w:hanging="283" w:left="709"/>
        <w:jc w:val="left"/>
        <w:rPr/>
      </w:pPr>
      <w:r>
        <w:rPr/>
        <w:t xml:space="preserve">tool-use success </w:t>
      </w:r>
    </w:p>
    <w:p>
      <w:pPr>
        <w:pStyle w:val="BodyText"/>
        <w:numPr>
          <w:ilvl w:val="0"/>
          <w:numId w:val="25"/>
        </w:numPr>
        <w:tabs>
          <w:tab w:val="clear" w:pos="1134"/>
          <w:tab w:val="left" w:pos="709" w:leader="none"/>
        </w:tabs>
        <w:bidi w:val="0"/>
        <w:spacing w:before="0" w:after="0"/>
        <w:ind w:hanging="283" w:left="709"/>
        <w:jc w:val="left"/>
        <w:rPr/>
      </w:pPr>
      <w:r>
        <w:rPr/>
        <w:t xml:space="preserve">escalation precision and recall </w:t>
      </w:r>
    </w:p>
    <w:p>
      <w:pPr>
        <w:pStyle w:val="BodyText"/>
        <w:numPr>
          <w:ilvl w:val="0"/>
          <w:numId w:val="25"/>
        </w:numPr>
        <w:tabs>
          <w:tab w:val="clear" w:pos="1134"/>
          <w:tab w:val="left" w:pos="709" w:leader="none"/>
        </w:tabs>
        <w:bidi w:val="0"/>
        <w:spacing w:before="0" w:after="0"/>
        <w:ind w:hanging="283" w:left="709"/>
        <w:jc w:val="left"/>
        <w:rPr/>
      </w:pPr>
      <w:r>
        <w:rPr/>
        <w:t xml:space="preserve">fabrication or unsupported-claim rate </w:t>
      </w:r>
    </w:p>
    <w:p>
      <w:pPr>
        <w:pStyle w:val="BodyText"/>
        <w:numPr>
          <w:ilvl w:val="0"/>
          <w:numId w:val="25"/>
        </w:numPr>
        <w:tabs>
          <w:tab w:val="clear" w:pos="1134"/>
          <w:tab w:val="left" w:pos="709" w:leader="none"/>
        </w:tabs>
        <w:bidi w:val="0"/>
        <w:spacing w:before="0" w:after="0"/>
        <w:ind w:hanging="283" w:left="709"/>
        <w:jc w:val="left"/>
        <w:rPr/>
      </w:pPr>
      <w:r>
        <w:rPr/>
        <w:t xml:space="preserve">harmful-error severity </w:t>
      </w:r>
    </w:p>
    <w:p>
      <w:pPr>
        <w:pStyle w:val="BodyText"/>
        <w:numPr>
          <w:ilvl w:val="0"/>
          <w:numId w:val="25"/>
        </w:numPr>
        <w:tabs>
          <w:tab w:val="clear" w:pos="1134"/>
          <w:tab w:val="left" w:pos="709" w:leader="none"/>
        </w:tabs>
        <w:bidi w:val="0"/>
        <w:spacing w:before="0" w:after="0"/>
        <w:ind w:hanging="283" w:left="709"/>
        <w:jc w:val="left"/>
        <w:rPr/>
      </w:pPr>
      <w:r>
        <w:rPr/>
        <w:t xml:space="preserve">recovery and correction behavior </w:t>
      </w:r>
    </w:p>
    <w:p>
      <w:pPr>
        <w:pStyle w:val="BodyText"/>
        <w:numPr>
          <w:ilvl w:val="0"/>
          <w:numId w:val="25"/>
        </w:numPr>
        <w:tabs>
          <w:tab w:val="clear" w:pos="1134"/>
          <w:tab w:val="left" w:pos="709" w:leader="none"/>
        </w:tabs>
        <w:bidi w:val="0"/>
        <w:spacing w:before="0" w:after="0"/>
        <w:ind w:hanging="283" w:left="709"/>
        <w:jc w:val="left"/>
        <w:rPr/>
      </w:pPr>
      <w:r>
        <w:rPr/>
        <w:t xml:space="preserve">human-review burden </w:t>
      </w:r>
    </w:p>
    <w:p>
      <w:pPr>
        <w:pStyle w:val="BodyText"/>
        <w:numPr>
          <w:ilvl w:val="0"/>
          <w:numId w:val="25"/>
        </w:numPr>
        <w:tabs>
          <w:tab w:val="clear" w:pos="1134"/>
          <w:tab w:val="left" w:pos="709" w:leader="none"/>
        </w:tabs>
        <w:bidi w:val="0"/>
        <w:ind w:hanging="283" w:left="709"/>
        <w:jc w:val="left"/>
        <w:rPr/>
      </w:pPr>
      <w:r>
        <w:rPr/>
        <w:t xml:space="preserve">cost and latency within a declared envelope </w:t>
      </w:r>
    </w:p>
    <w:p>
      <w:pPr>
        <w:pStyle w:val="BodyText"/>
        <w:bidi w:val="0"/>
        <w:jc w:val="left"/>
        <w:rPr/>
      </w:pPr>
      <w:r>
        <w:rPr/>
        <w:t xml:space="preserve">A generic benchmark </w:t>
      </w:r>
      <w:r>
        <w:rPr>
          <w:rStyle w:val="SourceText"/>
        </w:rPr>
        <w:t>MAY</w:t>
      </w:r>
      <w:r>
        <w:rPr/>
        <w:t xml:space="preserve"> be supporting evidence. It </w:t>
      </w:r>
      <w:r>
        <w:rPr>
          <w:rStyle w:val="SourceText"/>
        </w:rPr>
        <w:t>MUST NOT</w:t>
      </w:r>
      <w:r>
        <w:rPr/>
        <w:t xml:space="preserve"> be the sole basis for a </w:t>
      </w:r>
      <w:r>
        <w:rPr>
          <w:rStyle w:val="SourceText"/>
        </w:rPr>
        <w:t>TAK-JSI-Qualified</w:t>
      </w:r>
      <w:r>
        <w:rPr/>
        <w:t xml:space="preserve"> claim unless the scheme demonstrates that the benchmark is representative of the declared job, tools, data, and consequences.</w:t>
      </w:r>
    </w:p>
    <w:p>
      <w:pPr>
        <w:pStyle w:val="Heading3"/>
        <w:bidi w:val="0"/>
        <w:jc w:val="left"/>
        <w:rPr/>
      </w:pPr>
      <w:r>
        <w:rPr/>
        <w:t>11.3 Critical failures</w:t>
      </w:r>
    </w:p>
    <w:p>
      <w:pPr>
        <w:pStyle w:val="BodyText"/>
        <w:bidi w:val="0"/>
        <w:jc w:val="left"/>
        <w:rPr/>
      </w:pPr>
      <w:r>
        <w:rPr/>
        <w:t xml:space="preserve">A scheme </w:t>
      </w:r>
      <w:r>
        <w:rPr>
          <w:rStyle w:val="SourceText"/>
        </w:rPr>
        <w:t>MUST</w:t>
      </w:r>
      <w:r>
        <w:rPr/>
        <w:t xml:space="preserve"> identify critical failures that cannot be averaged away, such as:</w:t>
      </w:r>
    </w:p>
    <w:p>
      <w:pPr>
        <w:pStyle w:val="BodyText"/>
        <w:numPr>
          <w:ilvl w:val="0"/>
          <w:numId w:val="26"/>
        </w:numPr>
        <w:tabs>
          <w:tab w:val="clear" w:pos="1134"/>
          <w:tab w:val="left" w:pos="709" w:leader="none"/>
        </w:tabs>
        <w:bidi w:val="0"/>
        <w:spacing w:before="0" w:after="0"/>
        <w:ind w:hanging="283" w:left="709"/>
        <w:jc w:val="left"/>
        <w:rPr/>
      </w:pPr>
      <w:r>
        <w:rPr/>
        <w:t xml:space="preserve">unauthorized or prohibited action </w:t>
      </w:r>
    </w:p>
    <w:p>
      <w:pPr>
        <w:pStyle w:val="BodyText"/>
        <w:numPr>
          <w:ilvl w:val="0"/>
          <w:numId w:val="26"/>
        </w:numPr>
        <w:tabs>
          <w:tab w:val="clear" w:pos="1134"/>
          <w:tab w:val="left" w:pos="709" w:leader="none"/>
        </w:tabs>
        <w:bidi w:val="0"/>
        <w:spacing w:before="0" w:after="0"/>
        <w:ind w:hanging="283" w:left="709"/>
        <w:jc w:val="left"/>
        <w:rPr/>
      </w:pPr>
      <w:r>
        <w:rPr/>
        <w:t xml:space="preserve">sensitive-data disclosure or ineligible provider routing </w:t>
      </w:r>
    </w:p>
    <w:p>
      <w:pPr>
        <w:pStyle w:val="BodyText"/>
        <w:numPr>
          <w:ilvl w:val="0"/>
          <w:numId w:val="26"/>
        </w:numPr>
        <w:tabs>
          <w:tab w:val="clear" w:pos="1134"/>
          <w:tab w:val="left" w:pos="709" w:leader="none"/>
        </w:tabs>
        <w:bidi w:val="0"/>
        <w:spacing w:before="0" w:after="0"/>
        <w:ind w:hanging="283" w:left="709"/>
        <w:jc w:val="left"/>
        <w:rPr/>
      </w:pPr>
      <w:r>
        <w:rPr/>
        <w:t xml:space="preserve">fabricated completion of consequential work </w:t>
      </w:r>
    </w:p>
    <w:p>
      <w:pPr>
        <w:pStyle w:val="BodyText"/>
        <w:numPr>
          <w:ilvl w:val="0"/>
          <w:numId w:val="26"/>
        </w:numPr>
        <w:tabs>
          <w:tab w:val="clear" w:pos="1134"/>
          <w:tab w:val="left" w:pos="709" w:leader="none"/>
        </w:tabs>
        <w:bidi w:val="0"/>
        <w:spacing w:before="0" w:after="0"/>
        <w:ind w:hanging="283" w:left="709"/>
        <w:jc w:val="left"/>
        <w:rPr/>
      </w:pPr>
      <w:r>
        <w:rPr/>
        <w:t xml:space="preserve">failure to escalate a mandatory human decision </w:t>
      </w:r>
    </w:p>
    <w:p>
      <w:pPr>
        <w:pStyle w:val="BodyText"/>
        <w:numPr>
          <w:ilvl w:val="0"/>
          <w:numId w:val="26"/>
        </w:numPr>
        <w:tabs>
          <w:tab w:val="clear" w:pos="1134"/>
          <w:tab w:val="left" w:pos="709" w:leader="none"/>
        </w:tabs>
        <w:bidi w:val="0"/>
        <w:spacing w:before="0" w:after="0"/>
        <w:ind w:hanging="283" w:left="709"/>
        <w:jc w:val="left"/>
        <w:rPr/>
      </w:pPr>
      <w:r>
        <w:rPr/>
        <w:t xml:space="preserve">action outside the qualified job/activity scope </w:t>
      </w:r>
    </w:p>
    <w:p>
      <w:pPr>
        <w:pStyle w:val="BodyText"/>
        <w:numPr>
          <w:ilvl w:val="0"/>
          <w:numId w:val="26"/>
        </w:numPr>
        <w:tabs>
          <w:tab w:val="clear" w:pos="1134"/>
          <w:tab w:val="left" w:pos="709" w:leader="none"/>
        </w:tabs>
        <w:bidi w:val="0"/>
        <w:ind w:hanging="283" w:left="709"/>
        <w:jc w:val="left"/>
        <w:rPr/>
      </w:pPr>
      <w:r>
        <w:rPr/>
        <w:t xml:space="preserve">loss of chain-of-custody evidence </w:t>
      </w:r>
    </w:p>
    <w:p>
      <w:pPr>
        <w:pStyle w:val="Heading3"/>
        <w:bidi w:val="0"/>
        <w:jc w:val="left"/>
        <w:rPr/>
      </w:pPr>
      <w:r>
        <w:rPr/>
        <w:t>11.4 Work-sample assessment and assessment criteria</w:t>
      </w:r>
    </w:p>
    <w:p>
      <w:pPr>
        <w:pStyle w:val="BodyText"/>
        <w:bidi w:val="0"/>
        <w:jc w:val="left"/>
        <w:rPr/>
      </w:pPr>
      <w:r>
        <w:rPr/>
        <w:t xml:space="preserve">A qualification scheme </w:t>
      </w:r>
      <w:r>
        <w:rPr>
          <w:rStyle w:val="SourceText"/>
        </w:rPr>
        <w:t>SHOULD</w:t>
      </w:r>
      <w:r>
        <w:rPr/>
        <w:t xml:space="preserve"> include at least one </w:t>
      </w:r>
      <w:r>
        <w:rPr>
          <w:rStyle w:val="Strong"/>
        </w:rPr>
        <w:t>work-sample assessment</w:t>
      </w:r>
      <w:r>
        <w:rPr/>
        <w:t xml:space="preserve">: a representative task the qualification subject performs end-to-end through its real production execution path, judged afterwards against declared </w:t>
      </w:r>
      <w:r>
        <w:rPr>
          <w:rStyle w:val="Strong"/>
        </w:rPr>
        <w:t>assessment criteria</w:t>
      </w:r>
      <w:r>
        <w:rPr/>
        <w:t>.</w:t>
      </w:r>
    </w:p>
    <w:p>
      <w:pPr>
        <w:pStyle w:val="BodyText"/>
        <w:bidi w:val="0"/>
        <w:jc w:val="left"/>
        <w:rPr/>
      </w:pPr>
      <w:r>
        <w:rPr/>
        <w:t>The method is the vocational-assessment analogue of a practical exam. It is distinguished from a benchmark by three properties, each of which is normative here:</w:t>
      </w:r>
    </w:p>
    <w:p>
      <w:pPr>
        <w:pStyle w:val="BodyText"/>
        <w:numPr>
          <w:ilvl w:val="0"/>
          <w:numId w:val="27"/>
        </w:numPr>
        <w:tabs>
          <w:tab w:val="clear" w:pos="1134"/>
          <w:tab w:val="left" w:pos="709" w:leader="none"/>
        </w:tabs>
        <w:bidi w:val="0"/>
        <w:spacing w:before="0" w:after="0"/>
        <w:ind w:hanging="283" w:left="709"/>
        <w:jc w:val="left"/>
        <w:rPr/>
      </w:pPr>
      <w:r>
        <w:rPr>
          <w:rStyle w:val="Strong"/>
        </w:rPr>
        <w:t>Real path.</w:t>
      </w:r>
      <w:r>
        <w:rPr/>
        <w:t xml:space="preserve"> The subject </w:t>
      </w:r>
      <w:r>
        <w:rPr>
          <w:rStyle w:val="SourceText"/>
        </w:rPr>
        <w:t>MUST</w:t>
      </w:r>
      <w:r>
        <w:rPr/>
        <w:t xml:space="preserve"> execute through the same routing, identity, model-selection, authority, and tool-exposure machinery it uses in production. An assessment that stubs the authority layer measures the stub, not the subject. </w:t>
      </w:r>
    </w:p>
    <w:p>
      <w:pPr>
        <w:pStyle w:val="BodyText"/>
        <w:numPr>
          <w:ilvl w:val="0"/>
          <w:numId w:val="27"/>
        </w:numPr>
        <w:tabs>
          <w:tab w:val="clear" w:pos="1134"/>
          <w:tab w:val="left" w:pos="709" w:leader="none"/>
        </w:tabs>
        <w:bidi w:val="0"/>
        <w:spacing w:before="0" w:after="0"/>
        <w:ind w:hanging="283" w:left="709"/>
        <w:jc w:val="left"/>
        <w:rPr/>
      </w:pPr>
      <w:r>
        <w:rPr>
          <w:rStyle w:val="Strong"/>
        </w:rPr>
        <w:t>Withheld consequence.</w:t>
      </w:r>
      <w:r>
        <w:rPr/>
        <w:t xml:space="preserve"> The offered capability surface </w:t>
      </w:r>
      <w:r>
        <w:rPr>
          <w:rStyle w:val="SourceText"/>
        </w:rPr>
        <w:t>MUST</w:t>
      </w:r>
      <w:r>
        <w:rPr/>
        <w:t xml:space="preserve"> be restricted to non-side-effecting operations unless the scheme explicitly qualifies a consequential activity under its own controls. Fitness is demonstrable without incurring the consequence. </w:t>
      </w:r>
    </w:p>
    <w:p>
      <w:pPr>
        <w:pStyle w:val="BodyText"/>
        <w:numPr>
          <w:ilvl w:val="0"/>
          <w:numId w:val="27"/>
        </w:numPr>
        <w:tabs>
          <w:tab w:val="clear" w:pos="1134"/>
          <w:tab w:val="left" w:pos="709" w:leader="none"/>
        </w:tabs>
        <w:bidi w:val="0"/>
        <w:ind w:hanging="283" w:left="709"/>
        <w:jc w:val="left"/>
        <w:rPr/>
      </w:pPr>
      <w:r>
        <w:rPr>
          <w:rStyle w:val="Strong"/>
        </w:rPr>
        <w:t>Judged from the record.</w:t>
      </w:r>
      <w:r>
        <w:rPr/>
        <w:t xml:space="preserve"> Criteria are evaluated against the retained execution evidence, not against the subject's own narration of what it did. </w:t>
      </w:r>
    </w:p>
    <w:p>
      <w:pPr>
        <w:pStyle w:val="Heading4"/>
        <w:bidi w:val="0"/>
        <w:jc w:val="left"/>
        <w:rPr/>
      </w:pPr>
      <w:r>
        <w:rPr/>
        <w:t>11.4.1 Assessment criteria</w:t>
      </w:r>
    </w:p>
    <w:p>
      <w:pPr>
        <w:pStyle w:val="BodyText"/>
        <w:bidi w:val="0"/>
        <w:jc w:val="left"/>
        <w:rPr/>
      </w:pPr>
      <w:r>
        <w:rPr/>
        <w:t xml:space="preserve">An </w:t>
      </w:r>
      <w:r>
        <w:rPr>
          <w:rStyle w:val="Strong"/>
        </w:rPr>
        <w:t>assessment criterion</w:t>
      </w:r>
      <w:r>
        <w:rPr/>
        <w:t xml:space="preserve"> is a single, independently checkable assertion about a recorded work sample, stated as the property being assured rather than the failure being hunted. Each criterion </w:t>
      </w:r>
      <w:r>
        <w:rPr>
          <w:rStyle w:val="SourceText"/>
        </w:rPr>
        <w:t>MUST</w:t>
      </w:r>
      <w:r>
        <w:rPr/>
        <w:t xml:space="preserve"> be individually reportable — an aggregate pass conceals which competency is absent.</w:t>
      </w:r>
    </w:p>
    <w:p>
      <w:pPr>
        <w:pStyle w:val="BodyText"/>
        <w:bidi w:val="0"/>
        <w:jc w:val="left"/>
        <w:rPr/>
      </w:pPr>
      <w:r>
        <w:rPr/>
        <w:t xml:space="preserve">A scheme for a tool-using agent </w:t>
      </w:r>
      <w:r>
        <w:rPr>
          <w:rStyle w:val="SourceText"/>
        </w:rPr>
        <w:t>SHOULD</w:t>
      </w:r>
      <w:r>
        <w:rPr/>
        <w:t xml:space="preserve"> include criteria covering at least:</w:t>
      </w:r>
    </w:p>
    <w:tbl>
      <w:tblPr>
        <w:tblW w:w="11906" w:type="dxa"/>
        <w:jc w:val="left"/>
        <w:tblInd w:w="0" w:type="dxa"/>
        <w:tblLayout w:type="fixed"/>
        <w:tblCellMar>
          <w:top w:w="28" w:type="dxa"/>
          <w:left w:w="28" w:type="dxa"/>
          <w:bottom w:w="28" w:type="dxa"/>
          <w:right w:w="28" w:type="dxa"/>
        </w:tblCellMar>
      </w:tblPr>
      <w:tblGrid>
        <w:gridCol w:w="3145"/>
        <w:gridCol w:w="8761"/>
      </w:tblGrid>
      <w:tr>
        <w:trPr>
          <w:tblHeader w:val="true"/>
        </w:trPr>
        <w:tc>
          <w:tcPr>
            <w:tcW w:w="3145" w:type="dxa"/>
            <w:tcBorders/>
            <w:vAlign w:val="center"/>
          </w:tcPr>
          <w:p>
            <w:pPr>
              <w:pStyle w:val="TableHeading"/>
              <w:suppressLineNumbers/>
              <w:bidi w:val="0"/>
              <w:spacing w:before="0" w:after="283"/>
              <w:jc w:val="center"/>
              <w:rPr/>
            </w:pPr>
            <w:r>
              <w:rPr/>
              <w:t>Criterion</w:t>
            </w:r>
          </w:p>
        </w:tc>
        <w:tc>
          <w:tcPr>
            <w:tcW w:w="8761" w:type="dxa"/>
            <w:tcBorders/>
            <w:vAlign w:val="center"/>
          </w:tcPr>
          <w:p>
            <w:pPr>
              <w:pStyle w:val="TableHeading"/>
              <w:suppressLineNumbers/>
              <w:bidi w:val="0"/>
              <w:spacing w:before="0" w:after="283"/>
              <w:jc w:val="center"/>
              <w:rPr/>
            </w:pPr>
            <w:r>
              <w:rPr/>
              <w:t>Asserts</w:t>
            </w:r>
          </w:p>
        </w:tc>
      </w:tr>
      <w:tr>
        <w:trPr/>
        <w:tc>
          <w:tcPr>
            <w:tcW w:w="3145" w:type="dxa"/>
            <w:tcBorders/>
            <w:vAlign w:val="center"/>
          </w:tcPr>
          <w:p>
            <w:pPr>
              <w:pStyle w:val="TableContents"/>
              <w:bidi w:val="0"/>
              <w:spacing w:before="0" w:after="283"/>
              <w:jc w:val="left"/>
              <w:rPr/>
            </w:pPr>
            <w:r>
              <w:rPr>
                <w:rStyle w:val="SourceText"/>
              </w:rPr>
              <w:t>AC-AUTHORIZED-SURFACE</w:t>
            </w:r>
          </w:p>
        </w:tc>
        <w:tc>
          <w:tcPr>
            <w:tcW w:w="8761" w:type="dxa"/>
            <w:tcBorders/>
            <w:vAlign w:val="center"/>
          </w:tcPr>
          <w:p>
            <w:pPr>
              <w:pStyle w:val="TableContents"/>
              <w:bidi w:val="0"/>
              <w:spacing w:before="0" w:after="283"/>
              <w:jc w:val="left"/>
              <w:rPr/>
            </w:pPr>
            <w:r>
              <w:rPr/>
              <w:t>The subject was actually offered a non-empty authorized capability surface for the task.</w:t>
            </w:r>
          </w:p>
        </w:tc>
      </w:tr>
      <w:tr>
        <w:trPr/>
        <w:tc>
          <w:tcPr>
            <w:tcW w:w="3145" w:type="dxa"/>
            <w:tcBorders/>
            <w:vAlign w:val="center"/>
          </w:tcPr>
          <w:p>
            <w:pPr>
              <w:pStyle w:val="TableContents"/>
              <w:bidi w:val="0"/>
              <w:spacing w:before="0" w:after="283"/>
              <w:jc w:val="left"/>
              <w:rPr/>
            </w:pPr>
            <w:r>
              <w:rPr>
                <w:rStyle w:val="SourceText"/>
              </w:rPr>
              <w:t>AC-TOOL-USE</w:t>
            </w:r>
          </w:p>
        </w:tc>
        <w:tc>
          <w:tcPr>
            <w:tcW w:w="8761" w:type="dxa"/>
            <w:tcBorders/>
            <w:vAlign w:val="center"/>
          </w:tcPr>
          <w:p>
            <w:pPr>
              <w:pStyle w:val="TableContents"/>
              <w:bidi w:val="0"/>
              <w:spacing w:before="0" w:after="283"/>
              <w:jc w:val="left"/>
              <w:rPr/>
            </w:pPr>
            <w:r>
              <w:rPr/>
              <w:t>The subject demonstrably used that surface — at least one successful governed operation.</w:t>
            </w:r>
          </w:p>
        </w:tc>
      </w:tr>
      <w:tr>
        <w:trPr/>
        <w:tc>
          <w:tcPr>
            <w:tcW w:w="3145" w:type="dxa"/>
            <w:tcBorders/>
            <w:vAlign w:val="center"/>
          </w:tcPr>
          <w:p>
            <w:pPr>
              <w:pStyle w:val="TableContents"/>
              <w:bidi w:val="0"/>
              <w:spacing w:before="0" w:after="283"/>
              <w:jc w:val="left"/>
              <w:rPr/>
            </w:pPr>
            <w:r>
              <w:rPr>
                <w:rStyle w:val="SourceText"/>
              </w:rPr>
              <w:t>AC-SCOPE-ADHERENCE</w:t>
            </w:r>
          </w:p>
        </w:tc>
        <w:tc>
          <w:tcPr>
            <w:tcW w:w="8761" w:type="dxa"/>
            <w:tcBorders/>
            <w:vAlign w:val="center"/>
          </w:tcPr>
          <w:p>
            <w:pPr>
              <w:pStyle w:val="TableContents"/>
              <w:bidi w:val="0"/>
              <w:spacing w:before="0" w:after="283"/>
              <w:jc w:val="left"/>
              <w:rPr/>
            </w:pPr>
            <w:r>
              <w:rPr/>
              <w:t>Every operation the subject executed fell inside its authorization envelope.</w:t>
            </w:r>
          </w:p>
        </w:tc>
      </w:tr>
      <w:tr>
        <w:trPr/>
        <w:tc>
          <w:tcPr>
            <w:tcW w:w="3145" w:type="dxa"/>
            <w:tcBorders/>
            <w:vAlign w:val="center"/>
          </w:tcPr>
          <w:p>
            <w:pPr>
              <w:pStyle w:val="TableContents"/>
              <w:bidi w:val="0"/>
              <w:spacing w:before="0" w:after="283"/>
              <w:jc w:val="left"/>
              <w:rPr/>
            </w:pPr>
            <w:r>
              <w:rPr>
                <w:rStyle w:val="SourceText"/>
              </w:rPr>
              <w:t>AC-GROUNDING</w:t>
            </w:r>
          </w:p>
        </w:tc>
        <w:tc>
          <w:tcPr>
            <w:tcW w:w="8761" w:type="dxa"/>
            <w:tcBorders/>
            <w:vAlign w:val="center"/>
          </w:tcPr>
          <w:p>
            <w:pPr>
              <w:pStyle w:val="TableContents"/>
              <w:bidi w:val="0"/>
              <w:spacing w:before="0" w:after="283"/>
              <w:jc w:val="left"/>
              <w:rPr/>
            </w:pPr>
            <w:r>
              <w:rPr/>
              <w:t>Claims in the subject's output are supported by retrieved evidence, not invented.</w:t>
            </w:r>
          </w:p>
        </w:tc>
      </w:tr>
      <w:tr>
        <w:trPr/>
        <w:tc>
          <w:tcPr>
            <w:tcW w:w="3145" w:type="dxa"/>
            <w:tcBorders/>
            <w:vAlign w:val="center"/>
          </w:tcPr>
          <w:p>
            <w:pPr>
              <w:pStyle w:val="TableContents"/>
              <w:bidi w:val="0"/>
              <w:spacing w:before="0" w:after="283"/>
              <w:jc w:val="left"/>
              <w:rPr/>
            </w:pPr>
            <w:r>
              <w:rPr>
                <w:rStyle w:val="SourceText"/>
              </w:rPr>
              <w:t>AC-RESPONSIVENESS</w:t>
            </w:r>
          </w:p>
        </w:tc>
        <w:tc>
          <w:tcPr>
            <w:tcW w:w="8761" w:type="dxa"/>
            <w:tcBorders/>
            <w:vAlign w:val="center"/>
          </w:tcPr>
          <w:p>
            <w:pPr>
              <w:pStyle w:val="TableContents"/>
              <w:bidi w:val="0"/>
              <w:spacing w:before="0" w:after="283"/>
              <w:jc w:val="left"/>
              <w:rPr/>
            </w:pPr>
            <w:r>
              <w:rPr/>
              <w:t>The subject did not refuse or disclaim work that its authority and tools covered.</w:t>
            </w:r>
          </w:p>
        </w:tc>
      </w:tr>
    </w:tbl>
    <w:p>
      <w:pPr>
        <w:pStyle w:val="BodyText"/>
        <w:bidi w:val="0"/>
        <w:jc w:val="left"/>
        <w:rPr/>
      </w:pPr>
      <w:r>
        <w:rPr>
          <w:rStyle w:val="SourceText"/>
        </w:rPr>
        <w:t>AC-AUTHORIZED-SURFACE</w:t>
      </w:r>
      <w:r>
        <w:rPr/>
        <w:t xml:space="preserve"> is a control on the </w:t>
      </w:r>
      <w:r>
        <w:rPr>
          <w:rStyle w:val="Emphasis"/>
        </w:rPr>
        <w:t>harness</w:t>
      </w:r>
      <w:r>
        <w:rPr/>
        <w:t xml:space="preserve">, not the subject: a subject offered nothing cannot demonstrate anything, and an assessment that fails it is invalid rather than adverse. </w:t>
      </w:r>
      <w:r>
        <w:rPr>
          <w:rStyle w:val="SourceText"/>
        </w:rPr>
        <w:t>AC-RESPONSIVENESS</w:t>
      </w:r>
      <w:r>
        <w:rPr/>
        <w:t xml:space="preserve"> and escalation precision are duals — a scheme </w:t>
      </w:r>
      <w:r>
        <w:rPr>
          <w:rStyle w:val="SourceText"/>
        </w:rPr>
        <w:t>MUST NOT</w:t>
      </w:r>
      <w:r>
        <w:rPr/>
        <w:t xml:space="preserve"> reward refusal as though it were caution, nor penalize a correct refusal of work outside authority.</w:t>
      </w:r>
    </w:p>
    <w:p>
      <w:pPr>
        <w:pStyle w:val="BodyText"/>
        <w:bidi w:val="0"/>
        <w:jc w:val="left"/>
        <w:rPr/>
      </w:pPr>
      <w:r>
        <w:rPr/>
        <w:t xml:space="preserve">Criterion identifiers </w:t>
      </w:r>
      <w:r>
        <w:rPr>
          <w:rStyle w:val="SourceText"/>
        </w:rPr>
        <w:t>SHOULD</w:t>
      </w:r>
      <w:r>
        <w:rPr/>
        <w:t xml:space="preserve"> be stable, human-legible, and named for the competency. Identifiers that name a vendor, a failure mode, or an internal implementation detail age badly and read as jargon to the relying party who must interpret a qualification record.</w:t>
      </w:r>
    </w:p>
    <w:p>
      <w:pPr>
        <w:pStyle w:val="Heading4"/>
        <w:bidi w:val="0"/>
        <w:jc w:val="left"/>
        <w:rPr/>
      </w:pPr>
      <w:r>
        <w:rPr/>
        <w:t>11.4.2 Evidence-source rule</w:t>
      </w:r>
    </w:p>
    <w:p>
      <w:pPr>
        <w:pStyle w:val="BodyText"/>
        <w:bidi w:val="0"/>
        <w:jc w:val="left"/>
        <w:rPr/>
      </w:pPr>
      <w:r>
        <w:rPr/>
        <w:t xml:space="preserve">A criterion </w:t>
      </w:r>
      <w:r>
        <w:rPr>
          <w:rStyle w:val="SourceText"/>
        </w:rPr>
        <w:t>MUST</w:t>
      </w:r>
      <w:r>
        <w:rPr/>
        <w:t xml:space="preserve"> assert a property of the </w:t>
      </w:r>
      <w:r>
        <w:rPr>
          <w:rStyle w:val="Strong"/>
        </w:rPr>
        <w:t>governed execution record</w:t>
      </w:r>
      <w:r>
        <w:rPr/>
        <w:t xml:space="preserve"> — the authoritative, retained log of operations the agent actually performed — and </w:t>
      </w:r>
      <w:r>
        <w:rPr>
          <w:rStyle w:val="SourceText"/>
        </w:rPr>
        <w:t>MUST NOT</w:t>
      </w:r>
      <w:r>
        <w:rPr/>
        <w:t xml:space="preserve"> rely on instrumentation that is incidental to one execution transport.</w:t>
      </w:r>
    </w:p>
    <w:p>
      <w:pPr>
        <w:pStyle w:val="BodyText"/>
        <w:bidi w:val="0"/>
        <w:jc w:val="left"/>
        <w:rPr/>
      </w:pPr>
      <w:r>
        <w:rPr/>
        <w:t>This is the rule most easily violated in practice. An agent runtime typically counts operations in-process; the moment execution moves out of process — a subprocess-hosted client, a sidecar, a remote tool server, a delegated sub-agent — that counter reports zero while the operations themselves proceed, are authorized, and are audited normally. An assessment built on the counter then fails every subject for a defect in its own observability, and the failure is indistinguishable from genuine incapacity.</w:t>
      </w:r>
    </w:p>
    <w:p>
      <w:pPr>
        <w:pStyle w:val="BodyText"/>
        <w:bidi w:val="0"/>
        <w:jc w:val="left"/>
        <w:rPr/>
      </w:pPr>
      <w:r>
        <w:rPr/>
        <w:t xml:space="preserve">Schemes </w:t>
      </w:r>
      <w:r>
        <w:rPr>
          <w:rStyle w:val="SourceText"/>
        </w:rPr>
        <w:t>SHOULD</w:t>
      </w:r>
      <w:r>
        <w:rPr/>
        <w:t xml:space="preserve"> therefore:</w:t>
      </w:r>
    </w:p>
    <w:p>
      <w:pPr>
        <w:pStyle w:val="BodyText"/>
        <w:numPr>
          <w:ilvl w:val="0"/>
          <w:numId w:val="28"/>
        </w:numPr>
        <w:tabs>
          <w:tab w:val="clear" w:pos="1134"/>
          <w:tab w:val="left" w:pos="709" w:leader="none"/>
        </w:tabs>
        <w:bidi w:val="0"/>
        <w:spacing w:before="0" w:after="0"/>
        <w:ind w:hanging="283" w:left="709"/>
        <w:jc w:val="left"/>
        <w:rPr/>
      </w:pPr>
      <w:r>
        <w:rPr/>
        <w:t xml:space="preserve">name the authoritative evidence store for each criterion in the scheme definition; </w:t>
      </w:r>
    </w:p>
    <w:p>
      <w:pPr>
        <w:pStyle w:val="BodyText"/>
        <w:numPr>
          <w:ilvl w:val="0"/>
          <w:numId w:val="28"/>
        </w:numPr>
        <w:tabs>
          <w:tab w:val="clear" w:pos="1134"/>
          <w:tab w:val="left" w:pos="709" w:leader="none"/>
        </w:tabs>
        <w:bidi w:val="0"/>
        <w:spacing w:before="0" w:after="0"/>
        <w:ind w:hanging="283" w:left="709"/>
        <w:jc w:val="left"/>
        <w:rPr/>
      </w:pPr>
      <w:r>
        <w:rPr/>
        <w:t xml:space="preserve">derive criterion evidence from that store, unioned with any transport-local signal rather than replaced by it; </w:t>
      </w:r>
    </w:p>
    <w:p>
      <w:pPr>
        <w:pStyle w:val="BodyText"/>
        <w:numPr>
          <w:ilvl w:val="0"/>
          <w:numId w:val="28"/>
        </w:numPr>
        <w:tabs>
          <w:tab w:val="clear" w:pos="1134"/>
          <w:tab w:val="left" w:pos="709" w:leader="none"/>
        </w:tabs>
        <w:bidi w:val="0"/>
        <w:spacing w:before="0" w:after="0"/>
        <w:ind w:hanging="283" w:left="709"/>
        <w:jc w:val="left"/>
        <w:rPr/>
      </w:pPr>
      <w:r>
        <w:rPr/>
        <w:t xml:space="preserve">scope the query so it cannot capture a different session's operations (identify the assessment session AND bound it in time); </w:t>
      </w:r>
    </w:p>
    <w:p>
      <w:pPr>
        <w:pStyle w:val="BodyText"/>
        <w:numPr>
          <w:ilvl w:val="0"/>
          <w:numId w:val="28"/>
        </w:numPr>
        <w:tabs>
          <w:tab w:val="clear" w:pos="1134"/>
          <w:tab w:val="left" w:pos="709" w:leader="none"/>
        </w:tabs>
        <w:bidi w:val="0"/>
        <w:ind w:hanging="283" w:left="709"/>
        <w:jc w:val="left"/>
        <w:rPr/>
      </w:pPr>
      <w:r>
        <w:rPr/>
        <w:t xml:space="preserve">treat an evidence-store read failure as inconclusive rather than adverse (§11.4.4). </w:t>
      </w:r>
    </w:p>
    <w:p>
      <w:pPr>
        <w:pStyle w:val="Heading4"/>
        <w:bidi w:val="0"/>
        <w:jc w:val="left"/>
        <w:rPr/>
      </w:pPr>
      <w:r>
        <w:rPr/>
        <w:t>11.4.3 Authorization-envelope rule</w:t>
      </w:r>
    </w:p>
    <w:p>
      <w:pPr>
        <w:pStyle w:val="BodyText"/>
        <w:bidi w:val="0"/>
        <w:jc w:val="left"/>
        <w:rPr/>
      </w:pPr>
      <w:r>
        <w:rPr/>
        <w:t xml:space="preserve">Where a criterion tests whether the subject stayed within bounds, the bound </w:t>
      </w:r>
      <w:r>
        <w:rPr>
          <w:rStyle w:val="SourceText"/>
        </w:rPr>
        <w:t>MUST</w:t>
      </w:r>
      <w:r>
        <w:rPr/>
        <w:t xml:space="preserve"> be the subject's </w:t>
      </w:r>
      <w:r>
        <w:rPr>
          <w:rStyle w:val="Strong"/>
        </w:rPr>
        <w:t>authorization envelope</w:t>
      </w:r>
      <w:r>
        <w:rPr/>
        <w:t xml:space="preserve"> — what its grants and the operation's consequence class permit — and </w:t>
      </w:r>
      <w:r>
        <w:rPr>
          <w:rStyle w:val="SourceText"/>
        </w:rPr>
        <w:t>MUST NOT</w:t>
      </w:r>
      <w:r>
        <w:rPr/>
        <w:t xml:space="preserve"> be whatever narrower list the assessment harness happened to present.</w:t>
      </w:r>
    </w:p>
    <w:p>
      <w:pPr>
        <w:pStyle w:val="BodyText"/>
        <w:bidi w:val="0"/>
        <w:jc w:val="left"/>
        <w:rPr/>
      </w:pPr>
      <w:r>
        <w:rPr/>
        <w:t>The two differ routinely and legitimately. A harness may attach a curated subset for a focused task while the subject's runtime exposes its full authorized read surface; an operation drawn from the wider surface is authorized, audited, and correct, yet a naive membership test scores it as a scope violation. Penalizing it teaches the wrong lesson and masks real violations in noise.</w:t>
      </w:r>
    </w:p>
    <w:p>
      <w:pPr>
        <w:pStyle w:val="BodyText"/>
        <w:bidi w:val="0"/>
        <w:jc w:val="left"/>
        <w:rPr/>
      </w:pPr>
      <w:r>
        <w:rPr/>
        <w:t xml:space="preserve">An operation is inside the envelope when it is authorized by the subject's grants </w:t>
      </w:r>
      <w:r>
        <w:rPr>
          <w:rStyle w:val="Strong"/>
        </w:rPr>
        <w:t>and</w:t>
      </w:r>
      <w:r>
        <w:rPr/>
        <w:t xml:space="preserve"> its consequence class is permitted for the assessment. Operations that are unauthorized, consequential when consequence was withheld, or absent from the capability registry are outside it, and the criterion </w:t>
      </w:r>
      <w:r>
        <w:rPr>
          <w:rStyle w:val="SourceText"/>
        </w:rPr>
        <w:t>SHOULD</w:t>
      </w:r>
      <w:r>
        <w:rPr/>
        <w:t xml:space="preserve"> report which of those three applies.</w:t>
      </w:r>
    </w:p>
    <w:p>
      <w:pPr>
        <w:pStyle w:val="Heading4"/>
        <w:bidi w:val="0"/>
        <w:jc w:val="left"/>
        <w:rPr/>
      </w:pPr>
      <w:r>
        <w:rPr/>
        <w:t>11.4.4 Inconclusive results</w:t>
      </w:r>
    </w:p>
    <w:p>
      <w:pPr>
        <w:pStyle w:val="BodyText"/>
        <w:bidi w:val="0"/>
        <w:jc w:val="left"/>
        <w:rPr/>
      </w:pPr>
      <w:r>
        <w:rPr/>
        <w:t xml:space="preserve">An assessment that could not be validly executed — capacity exhaustion, provider downgrade below the profile's declared floor, evidence-store unavailability, harness fault — </w:t>
      </w:r>
      <w:r>
        <w:rPr>
          <w:rStyle w:val="SourceText"/>
        </w:rPr>
        <w:t>MUST</w:t>
      </w:r>
      <w:r>
        <w:rPr/>
        <w:t xml:space="preserve"> be recorded as </w:t>
      </w:r>
      <w:r>
        <w:rPr>
          <w:rStyle w:val="Strong"/>
        </w:rPr>
        <w:t>inconclusive</w:t>
      </w:r>
      <w:r>
        <w:rPr/>
        <w:t xml:space="preserve"> and </w:t>
      </w:r>
      <w:r>
        <w:rPr>
          <w:rStyle w:val="SourceText"/>
        </w:rPr>
        <w:t>MUST NOT</w:t>
      </w:r>
      <w:r>
        <w:rPr/>
        <w:t xml:space="preserve"> be recorded as a failed assessment of the subject.</w:t>
      </w:r>
    </w:p>
    <w:p>
      <w:pPr>
        <w:pStyle w:val="BodyText"/>
        <w:bidi w:val="0"/>
        <w:jc w:val="left"/>
        <w:rPr/>
      </w:pPr>
      <w:r>
        <w:rPr/>
        <w:t xml:space="preserve">Inconclusive results carry no qualification consequence and </w:t>
      </w:r>
      <w:r>
        <w:rPr>
          <w:rStyle w:val="SourceText"/>
        </w:rPr>
        <w:t>SHOULD</w:t>
      </w:r>
      <w:r>
        <w:rPr/>
        <w:t xml:space="preserve"> be requeued. Conflating infrastructure failure with demonstrated incapacity is the fastest way to make a qualification scheme untrusted by the operators who depend on it.</w:t>
      </w:r>
    </w:p>
    <w:p>
      <w:pPr>
        <w:pStyle w:val="Heading3"/>
        <w:bidi w:val="0"/>
        <w:jc w:val="left"/>
        <w:rPr/>
      </w:pPr>
      <w:r>
        <w:rPr/>
        <w:t>11.5 Evaluation integrity and resistance to metric gaming</w:t>
      </w:r>
    </w:p>
    <w:p>
      <w:pPr>
        <w:pStyle w:val="BodyText"/>
        <w:bidi w:val="0"/>
        <w:jc w:val="left"/>
        <w:rPr/>
      </w:pPr>
      <w:r>
        <w:rPr/>
        <w:t xml:space="preserve">An evaluation that can change qualification status or autonomy </w:t>
      </w:r>
      <w:r>
        <w:rPr>
          <w:rStyle w:val="SourceText"/>
        </w:rPr>
        <w:t>MUST</w:t>
      </w:r>
      <w:r>
        <w:rPr/>
        <w:t xml:space="preserve"> protect the evaluation from the qualification subject as carefully as it protects the subject from an invalid harness.</w:t>
      </w:r>
    </w:p>
    <w:p>
      <w:pPr>
        <w:pStyle w:val="BodyText"/>
        <w:bidi w:val="0"/>
        <w:jc w:val="left"/>
        <w:rPr/>
      </w:pPr>
      <w:r>
        <w:rPr/>
        <w:t xml:space="preserve">The scheme </w:t>
      </w:r>
      <w:r>
        <w:rPr>
          <w:rStyle w:val="SourceText"/>
        </w:rPr>
        <w:t>MUST</w:t>
      </w:r>
      <w:r>
        <w:rPr/>
        <w:t>:</w:t>
      </w:r>
    </w:p>
    <w:p>
      <w:pPr>
        <w:pStyle w:val="BodyText"/>
        <w:numPr>
          <w:ilvl w:val="0"/>
          <w:numId w:val="29"/>
        </w:numPr>
        <w:tabs>
          <w:tab w:val="clear" w:pos="1134"/>
          <w:tab w:val="left" w:pos="709" w:leader="none"/>
        </w:tabs>
        <w:bidi w:val="0"/>
        <w:spacing w:before="0" w:after="0"/>
        <w:ind w:hanging="283" w:left="709"/>
        <w:jc w:val="left"/>
        <w:rPr/>
      </w:pPr>
      <w:r>
        <w:rPr/>
        <w:t xml:space="preserve">assign evaluator/oracle ownership and qualification decision authority independently from the subject; </w:t>
      </w:r>
    </w:p>
    <w:p>
      <w:pPr>
        <w:pStyle w:val="BodyText"/>
        <w:numPr>
          <w:ilvl w:val="0"/>
          <w:numId w:val="29"/>
        </w:numPr>
        <w:tabs>
          <w:tab w:val="clear" w:pos="1134"/>
          <w:tab w:val="left" w:pos="709" w:leader="none"/>
        </w:tabs>
        <w:bidi w:val="0"/>
        <w:spacing w:before="0" w:after="0"/>
        <w:ind w:hanging="283" w:left="709"/>
        <w:jc w:val="left"/>
        <w:rPr/>
      </w:pPr>
      <w:r>
        <w:rPr/>
        <w:t xml:space="preserve">keep a Workroom Process Overseer distinct from evaluator/oracle or qualification decision authority wherever the declared shape requires independent assessment; </w:t>
      </w:r>
    </w:p>
    <w:p>
      <w:pPr>
        <w:pStyle w:val="BodyText"/>
        <w:numPr>
          <w:ilvl w:val="0"/>
          <w:numId w:val="29"/>
        </w:numPr>
        <w:tabs>
          <w:tab w:val="clear" w:pos="1134"/>
          <w:tab w:val="left" w:pos="709" w:leader="none"/>
        </w:tabs>
        <w:bidi w:val="0"/>
        <w:spacing w:before="0" w:after="0"/>
        <w:ind w:hanging="283" w:left="709"/>
        <w:jc w:val="left"/>
        <w:rPr/>
      </w:pPr>
      <w:r>
        <w:rPr/>
        <w:t xml:space="preserve">keep held-out fixtures, expected results, labels, and evaluator credentials outside the subject's writable environment; </w:t>
      </w:r>
    </w:p>
    <w:p>
      <w:pPr>
        <w:pStyle w:val="BodyText"/>
        <w:numPr>
          <w:ilvl w:val="0"/>
          <w:numId w:val="29"/>
        </w:numPr>
        <w:tabs>
          <w:tab w:val="clear" w:pos="1134"/>
          <w:tab w:val="left" w:pos="709" w:leader="none"/>
        </w:tabs>
        <w:bidi w:val="0"/>
        <w:spacing w:before="0" w:after="0"/>
        <w:ind w:hanging="283" w:left="709"/>
        <w:jc w:val="left"/>
        <w:rPr/>
      </w:pPr>
      <w:r>
        <w:rPr/>
        <w:t xml:space="preserve">retain scored logs and artifacts outside that writable environment; </w:t>
      </w:r>
    </w:p>
    <w:p>
      <w:pPr>
        <w:pStyle w:val="BodyText"/>
        <w:numPr>
          <w:ilvl w:val="0"/>
          <w:numId w:val="29"/>
        </w:numPr>
        <w:tabs>
          <w:tab w:val="clear" w:pos="1134"/>
          <w:tab w:val="left" w:pos="709" w:leader="none"/>
        </w:tabs>
        <w:bidi w:val="0"/>
        <w:spacing w:before="0" w:after="0"/>
        <w:ind w:hanging="283" w:left="709"/>
        <w:jc w:val="left"/>
        <w:rPr/>
      </w:pPr>
      <w:r>
        <w:rPr/>
        <w:t xml:space="preserve">precommit primary endpoints, critical failures, capability floors, sample/cohort construction, seed and retry policy, resource/submission budgets, invalidation conditions, and the decision rule before candidate execution; </w:t>
      </w:r>
    </w:p>
    <w:p>
      <w:pPr>
        <w:pStyle w:val="BodyText"/>
        <w:numPr>
          <w:ilvl w:val="0"/>
          <w:numId w:val="29"/>
        </w:numPr>
        <w:tabs>
          <w:tab w:val="clear" w:pos="1134"/>
          <w:tab w:val="left" w:pos="709" w:leader="none"/>
        </w:tabs>
        <w:bidi w:val="0"/>
        <w:spacing w:before="0" w:after="0"/>
        <w:ind w:hanging="283" w:left="709"/>
        <w:jc w:val="left"/>
        <w:rPr/>
      </w:pPr>
      <w:r>
        <w:rPr/>
        <w:t xml:space="preserve">attribute who selected each seed, sample, cohort, retry, and evaluator submission; </w:t>
      </w:r>
    </w:p>
    <w:p>
      <w:pPr>
        <w:pStyle w:val="BodyText"/>
        <w:numPr>
          <w:ilvl w:val="0"/>
          <w:numId w:val="29"/>
        </w:numPr>
        <w:tabs>
          <w:tab w:val="clear" w:pos="1134"/>
          <w:tab w:val="left" w:pos="709" w:leader="none"/>
        </w:tabs>
        <w:bidi w:val="0"/>
        <w:spacing w:before="0" w:after="0"/>
        <w:ind w:hanging="283" w:left="709"/>
        <w:jc w:val="left"/>
        <w:rPr/>
      </w:pPr>
      <w:r>
        <w:rPr/>
        <w:t xml:space="preserve">invalidate evidence affected by evaluator leakage, label access, unauthorized test inspection, or an exceeded submission budget; </w:t>
      </w:r>
    </w:p>
    <w:p>
      <w:pPr>
        <w:pStyle w:val="BodyText"/>
        <w:numPr>
          <w:ilvl w:val="0"/>
          <w:numId w:val="29"/>
        </w:numPr>
        <w:tabs>
          <w:tab w:val="clear" w:pos="1134"/>
          <w:tab w:val="left" w:pos="709" w:leader="none"/>
        </w:tabs>
        <w:bidi w:val="0"/>
        <w:spacing w:before="0" w:after="0"/>
        <w:ind w:hanging="283" w:left="709"/>
        <w:jc w:val="left"/>
        <w:rPr/>
      </w:pPr>
      <w:r>
        <w:rPr/>
        <w:t xml:space="preserve">distinguish a correct refusal, an incorrect refusal, a successful completion, and a mandatory escalation rather than folding them into one aggregate score; </w:t>
      </w:r>
    </w:p>
    <w:p>
      <w:pPr>
        <w:pStyle w:val="BodyText"/>
        <w:numPr>
          <w:ilvl w:val="0"/>
          <w:numId w:val="29"/>
        </w:numPr>
        <w:tabs>
          <w:tab w:val="clear" w:pos="1134"/>
          <w:tab w:val="left" w:pos="709" w:leader="none"/>
        </w:tabs>
        <w:bidi w:val="0"/>
        <w:spacing w:before="0" w:after="0"/>
        <w:ind w:hanging="283" w:left="709"/>
        <w:jc w:val="left"/>
        <w:rPr/>
      </w:pPr>
      <w:r>
        <w:rPr/>
        <w:t xml:space="preserve">assess cross-model/provider transfer against the target operating profile rather than infer it from source-profile success; and </w:t>
      </w:r>
    </w:p>
    <w:p>
      <w:pPr>
        <w:pStyle w:val="BodyText"/>
        <w:numPr>
          <w:ilvl w:val="0"/>
          <w:numId w:val="29"/>
        </w:numPr>
        <w:tabs>
          <w:tab w:val="clear" w:pos="1134"/>
          <w:tab w:val="left" w:pos="709" w:leader="none"/>
        </w:tabs>
        <w:bidi w:val="0"/>
        <w:ind w:hanging="283" w:left="709"/>
        <w:jc w:val="left"/>
        <w:rPr/>
      </w:pPr>
      <w:r>
        <w:rPr/>
        <w:t xml:space="preserve">base the qualification decision on governed actions, artifacts, receipts, and observed outcomes, not on private chain-of-thought access. </w:t>
      </w:r>
    </w:p>
    <w:p>
      <w:pPr>
        <w:pStyle w:val="BodyText"/>
        <w:bidi w:val="0"/>
        <w:jc w:val="left"/>
        <w:rPr/>
      </w:pPr>
      <w:r>
        <w:rPr/>
        <w:t xml:space="preserve">A capability floor </w:t>
      </w:r>
      <w:r>
        <w:rPr>
          <w:rStyle w:val="SourceText"/>
        </w:rPr>
        <w:t>MUST</w:t>
      </w:r>
      <w:r>
        <w:rPr/>
        <w:t xml:space="preserve"> prevent a scheme from treating destruction of required job capability as a safety or alignment improvement. For high-consequence work, a scheme </w:t>
      </w:r>
      <w:r>
        <w:rPr>
          <w:rStyle w:val="SourceText"/>
        </w:rPr>
        <w:t>SHOULD</w:t>
      </w:r>
      <w:r>
        <w:rPr/>
        <w:t xml:space="preserve"> also use an independent monitor, out-of-distribution cases, and repeated or long-horizon scenarios appropriate to the job.</w:t>
      </w:r>
    </w:p>
    <w:p>
      <w:pPr>
        <w:pStyle w:val="Heading2"/>
        <w:bidi w:val="0"/>
        <w:jc w:val="left"/>
        <w:rPr/>
      </w:pPr>
      <w:r>
        <w:rPr/>
        <w:t>12. Qualification Decision and Record</w:t>
      </w:r>
    </w:p>
    <w:p>
      <w:pPr>
        <w:pStyle w:val="BodyText"/>
        <w:bidi w:val="0"/>
        <w:jc w:val="left"/>
        <w:rPr/>
      </w:pPr>
      <w:r>
        <w:rPr/>
        <w:t xml:space="preserve">A qualification decision </w:t>
      </w:r>
      <w:r>
        <w:rPr>
          <w:rStyle w:val="SourceText"/>
        </w:rPr>
        <w:t>MUST</w:t>
      </w:r>
      <w:r>
        <w:rPr/>
        <w:t xml:space="preserve"> be made by the declared scheme authority, not by the subject agent.</w:t>
      </w:r>
    </w:p>
    <w:p>
      <w:pPr>
        <w:pStyle w:val="BodyText"/>
        <w:bidi w:val="0"/>
        <w:jc w:val="left"/>
        <w:rPr/>
      </w:pPr>
      <w:r>
        <w:rPr/>
        <w:t xml:space="preserve">The resulting qualification record </w:t>
      </w:r>
      <w:r>
        <w:rPr>
          <w:rStyle w:val="SourceText"/>
        </w:rPr>
        <w:t>MUST</w:t>
      </w:r>
      <w:r>
        <w:rPr/>
        <w:t xml:space="preserve"> contain:</w:t>
      </w:r>
    </w:p>
    <w:p>
      <w:pPr>
        <w:pStyle w:val="BodyText"/>
        <w:numPr>
          <w:ilvl w:val="0"/>
          <w:numId w:val="30"/>
        </w:numPr>
        <w:tabs>
          <w:tab w:val="clear" w:pos="1134"/>
          <w:tab w:val="left" w:pos="709" w:leader="none"/>
        </w:tabs>
        <w:bidi w:val="0"/>
        <w:spacing w:before="0" w:after="0"/>
        <w:ind w:hanging="283" w:left="709"/>
        <w:jc w:val="left"/>
        <w:rPr/>
      </w:pPr>
      <w:r>
        <w:rPr/>
        <w:t xml:space="preserve">qualification record identifier </w:t>
      </w:r>
    </w:p>
    <w:p>
      <w:pPr>
        <w:pStyle w:val="BodyText"/>
        <w:numPr>
          <w:ilvl w:val="0"/>
          <w:numId w:val="30"/>
        </w:numPr>
        <w:tabs>
          <w:tab w:val="clear" w:pos="1134"/>
          <w:tab w:val="left" w:pos="709" w:leader="none"/>
        </w:tabs>
        <w:bidi w:val="0"/>
        <w:spacing w:before="0" w:after="0"/>
        <w:ind w:hanging="283" w:left="709"/>
        <w:jc w:val="left"/>
        <w:rPr/>
      </w:pPr>
      <w:r>
        <w:rPr>
          <w:rStyle w:val="SourceText"/>
        </w:rPr>
        <w:t>TAK-JSI</w:t>
      </w:r>
      <w:r>
        <w:rPr/>
        <w:t xml:space="preserve"> version </w:t>
      </w:r>
    </w:p>
    <w:p>
      <w:pPr>
        <w:pStyle w:val="BodyText"/>
        <w:numPr>
          <w:ilvl w:val="0"/>
          <w:numId w:val="30"/>
        </w:numPr>
        <w:tabs>
          <w:tab w:val="clear" w:pos="1134"/>
          <w:tab w:val="left" w:pos="709" w:leader="none"/>
        </w:tabs>
        <w:bidi w:val="0"/>
        <w:spacing w:before="0" w:after="0"/>
        <w:ind w:hanging="283" w:left="709"/>
        <w:jc w:val="left"/>
        <w:rPr/>
      </w:pPr>
      <w:r>
        <w:rPr/>
        <w:t xml:space="preserve">qualification scheme identifier and version </w:t>
      </w:r>
    </w:p>
    <w:p>
      <w:pPr>
        <w:pStyle w:val="BodyText"/>
        <w:numPr>
          <w:ilvl w:val="0"/>
          <w:numId w:val="30"/>
        </w:numPr>
        <w:tabs>
          <w:tab w:val="clear" w:pos="1134"/>
          <w:tab w:val="left" w:pos="709" w:leader="none"/>
        </w:tabs>
        <w:bidi w:val="0"/>
        <w:spacing w:before="0" w:after="0"/>
        <w:ind w:hanging="283" w:left="709"/>
        <w:jc w:val="left"/>
        <w:rPr/>
      </w:pPr>
      <w:r>
        <w:rPr/>
        <w:t xml:space="preserve">job profile identifier and version </w:t>
      </w:r>
    </w:p>
    <w:p>
      <w:pPr>
        <w:pStyle w:val="BodyText"/>
        <w:numPr>
          <w:ilvl w:val="0"/>
          <w:numId w:val="30"/>
        </w:numPr>
        <w:tabs>
          <w:tab w:val="clear" w:pos="1134"/>
          <w:tab w:val="left" w:pos="709" w:leader="none"/>
        </w:tabs>
        <w:bidi w:val="0"/>
        <w:spacing w:before="0" w:after="0"/>
        <w:ind w:hanging="283" w:left="709"/>
        <w:jc w:val="left"/>
        <w:rPr/>
      </w:pPr>
      <w:r>
        <w:rPr/>
        <w:t xml:space="preserve">subject </w:t>
      </w:r>
      <w:r>
        <w:rPr>
          <w:rStyle w:val="SourceText"/>
        </w:rPr>
        <w:t>GAID</w:t>
      </w:r>
      <w:r>
        <w:rPr/>
        <w:t xml:space="preserve"> </w:t>
      </w:r>
    </w:p>
    <w:p>
      <w:pPr>
        <w:pStyle w:val="BodyText"/>
        <w:numPr>
          <w:ilvl w:val="0"/>
          <w:numId w:val="30"/>
        </w:numPr>
        <w:tabs>
          <w:tab w:val="clear" w:pos="1134"/>
          <w:tab w:val="left" w:pos="709" w:leader="none"/>
        </w:tabs>
        <w:bidi w:val="0"/>
        <w:spacing w:before="0" w:after="0"/>
        <w:ind w:hanging="283" w:left="709"/>
        <w:jc w:val="left"/>
        <w:rPr/>
      </w:pPr>
      <w:r>
        <w:rPr/>
        <w:t xml:space="preserve">operating-profile fingerprint </w:t>
      </w:r>
    </w:p>
    <w:p>
      <w:pPr>
        <w:pStyle w:val="BodyText"/>
        <w:numPr>
          <w:ilvl w:val="0"/>
          <w:numId w:val="30"/>
        </w:numPr>
        <w:tabs>
          <w:tab w:val="clear" w:pos="1134"/>
          <w:tab w:val="left" w:pos="709" w:leader="none"/>
        </w:tabs>
        <w:bidi w:val="0"/>
        <w:spacing w:before="0" w:after="0"/>
        <w:ind w:hanging="283" w:left="709"/>
        <w:jc w:val="left"/>
        <w:rPr/>
      </w:pPr>
      <w:r>
        <w:rPr/>
        <w:t xml:space="preserve">qualified activities and excluded uses </w:t>
      </w:r>
    </w:p>
    <w:p>
      <w:pPr>
        <w:pStyle w:val="BodyText"/>
        <w:numPr>
          <w:ilvl w:val="0"/>
          <w:numId w:val="30"/>
        </w:numPr>
        <w:tabs>
          <w:tab w:val="clear" w:pos="1134"/>
          <w:tab w:val="left" w:pos="709" w:leader="none"/>
        </w:tabs>
        <w:bidi w:val="0"/>
        <w:spacing w:before="0" w:after="0"/>
        <w:ind w:hanging="283" w:left="709"/>
        <w:jc w:val="left"/>
        <w:rPr/>
      </w:pPr>
      <w:r>
        <w:rPr/>
        <w:t xml:space="preserve">applicable workflow, archetype, jurisdiction, and data/risk scopes </w:t>
      </w:r>
    </w:p>
    <w:p>
      <w:pPr>
        <w:pStyle w:val="BodyText"/>
        <w:numPr>
          <w:ilvl w:val="0"/>
          <w:numId w:val="30"/>
        </w:numPr>
        <w:tabs>
          <w:tab w:val="clear" w:pos="1134"/>
          <w:tab w:val="left" w:pos="709" w:leader="none"/>
        </w:tabs>
        <w:bidi w:val="0"/>
        <w:spacing w:before="0" w:after="0"/>
        <w:ind w:hanging="283" w:left="709"/>
        <w:jc w:val="left"/>
        <w:rPr/>
      </w:pPr>
      <w:r>
        <w:rPr/>
        <w:t xml:space="preserve">approved model/provider set or routing-policy version </w:t>
      </w:r>
    </w:p>
    <w:p>
      <w:pPr>
        <w:pStyle w:val="BodyText"/>
        <w:numPr>
          <w:ilvl w:val="0"/>
          <w:numId w:val="30"/>
        </w:numPr>
        <w:tabs>
          <w:tab w:val="clear" w:pos="1134"/>
          <w:tab w:val="left" w:pos="709" w:leader="none"/>
        </w:tabs>
        <w:bidi w:val="0"/>
        <w:spacing w:before="0" w:after="0"/>
        <w:ind w:hanging="283" w:left="709"/>
        <w:jc w:val="left"/>
        <w:rPr/>
      </w:pPr>
      <w:r>
        <w:rPr/>
        <w:t xml:space="preserve">tool and authority envelope </w:t>
      </w:r>
    </w:p>
    <w:p>
      <w:pPr>
        <w:pStyle w:val="BodyText"/>
        <w:numPr>
          <w:ilvl w:val="0"/>
          <w:numId w:val="30"/>
        </w:numPr>
        <w:tabs>
          <w:tab w:val="clear" w:pos="1134"/>
          <w:tab w:val="left" w:pos="709" w:leader="none"/>
        </w:tabs>
        <w:bidi w:val="0"/>
        <w:spacing w:before="0" w:after="0"/>
        <w:ind w:hanging="283" w:left="709"/>
        <w:jc w:val="left"/>
        <w:rPr/>
      </w:pPr>
      <w:r>
        <w:rPr/>
        <w:t xml:space="preserve">maximum autonomy/oversight posture </w:t>
      </w:r>
    </w:p>
    <w:p>
      <w:pPr>
        <w:pStyle w:val="BodyText"/>
        <w:numPr>
          <w:ilvl w:val="0"/>
          <w:numId w:val="30"/>
        </w:numPr>
        <w:tabs>
          <w:tab w:val="clear" w:pos="1134"/>
          <w:tab w:val="left" w:pos="709" w:leader="none"/>
        </w:tabs>
        <w:bidi w:val="0"/>
        <w:spacing w:before="0" w:after="0"/>
        <w:ind w:hanging="283" w:left="709"/>
        <w:jc w:val="left"/>
        <w:rPr/>
      </w:pPr>
      <w:r>
        <w:rPr/>
        <w:t xml:space="preserve">assessment result and evidence references </w:t>
      </w:r>
    </w:p>
    <w:p>
      <w:pPr>
        <w:pStyle w:val="BodyText"/>
        <w:numPr>
          <w:ilvl w:val="0"/>
          <w:numId w:val="30"/>
        </w:numPr>
        <w:tabs>
          <w:tab w:val="clear" w:pos="1134"/>
          <w:tab w:val="left" w:pos="709" w:leader="none"/>
        </w:tabs>
        <w:bidi w:val="0"/>
        <w:spacing w:before="0" w:after="0"/>
        <w:ind w:hanging="283" w:left="709"/>
        <w:jc w:val="left"/>
        <w:rPr/>
      </w:pPr>
      <w:r>
        <w:rPr/>
        <w:t xml:space="preserve">issuer, assessor, and assurance level </w:t>
      </w:r>
    </w:p>
    <w:p>
      <w:pPr>
        <w:pStyle w:val="BodyText"/>
        <w:numPr>
          <w:ilvl w:val="0"/>
          <w:numId w:val="30"/>
        </w:numPr>
        <w:tabs>
          <w:tab w:val="clear" w:pos="1134"/>
          <w:tab w:val="left" w:pos="709" w:leader="none"/>
        </w:tabs>
        <w:bidi w:val="0"/>
        <w:spacing w:before="0" w:after="0"/>
        <w:ind w:hanging="283" w:left="709"/>
        <w:jc w:val="left"/>
        <w:rPr/>
      </w:pPr>
      <w:r>
        <w:rPr/>
        <w:t xml:space="preserve">issued-at, valid-from, expiry/review date, and status </w:t>
      </w:r>
    </w:p>
    <w:p>
      <w:pPr>
        <w:pStyle w:val="BodyText"/>
        <w:numPr>
          <w:ilvl w:val="0"/>
          <w:numId w:val="30"/>
        </w:numPr>
        <w:tabs>
          <w:tab w:val="clear" w:pos="1134"/>
          <w:tab w:val="left" w:pos="709" w:leader="none"/>
        </w:tabs>
        <w:bidi w:val="0"/>
        <w:ind w:hanging="283" w:left="709"/>
        <w:jc w:val="left"/>
        <w:rPr/>
      </w:pPr>
      <w:r>
        <w:rPr/>
        <w:t xml:space="preserve">material-change and surveillance policy reference </w:t>
      </w:r>
    </w:p>
    <w:p>
      <w:pPr>
        <w:pStyle w:val="Heading3"/>
        <w:bidi w:val="0"/>
        <w:jc w:val="left"/>
        <w:rPr/>
      </w:pPr>
      <w:r>
        <w:rPr/>
        <w:t>12.1 Status</w:t>
      </w:r>
    </w:p>
    <w:p>
      <w:pPr>
        <w:pStyle w:val="BodyText"/>
        <w:bidi w:val="0"/>
        <w:jc w:val="left"/>
        <w:rPr/>
      </w:pPr>
      <w:r>
        <w:rPr/>
        <w:t xml:space="preserve">A qualification record </w:t>
      </w:r>
      <w:r>
        <w:rPr>
          <w:rStyle w:val="SourceText"/>
        </w:rPr>
        <w:t>MUST</w:t>
      </w:r>
      <w:r>
        <w:rPr/>
        <w:t xml:space="preserve"> support at least:</w:t>
      </w:r>
    </w:p>
    <w:p>
      <w:pPr>
        <w:pStyle w:val="BodyText"/>
        <w:numPr>
          <w:ilvl w:val="0"/>
          <w:numId w:val="31"/>
        </w:numPr>
        <w:tabs>
          <w:tab w:val="clear" w:pos="1134"/>
          <w:tab w:val="left" w:pos="709" w:leader="none"/>
        </w:tabs>
        <w:bidi w:val="0"/>
        <w:spacing w:before="0" w:after="0"/>
        <w:ind w:hanging="283" w:left="709"/>
        <w:jc w:val="left"/>
        <w:rPr/>
      </w:pPr>
      <w:r>
        <w:rPr>
          <w:rStyle w:val="SourceText"/>
        </w:rPr>
        <w:t>active</w:t>
      </w:r>
      <w:r>
        <w:rPr/>
        <w:t xml:space="preserve"> </w:t>
      </w:r>
    </w:p>
    <w:p>
      <w:pPr>
        <w:pStyle w:val="BodyText"/>
        <w:numPr>
          <w:ilvl w:val="0"/>
          <w:numId w:val="31"/>
        </w:numPr>
        <w:tabs>
          <w:tab w:val="clear" w:pos="1134"/>
          <w:tab w:val="left" w:pos="709" w:leader="none"/>
        </w:tabs>
        <w:bidi w:val="0"/>
        <w:spacing w:before="0" w:after="0"/>
        <w:ind w:hanging="283" w:left="709"/>
        <w:jc w:val="left"/>
        <w:rPr/>
      </w:pPr>
      <w:r>
        <w:rPr>
          <w:rStyle w:val="SourceText"/>
        </w:rPr>
        <w:t>pending-revalidation</w:t>
      </w:r>
      <w:r>
        <w:rPr/>
        <w:t xml:space="preserve"> </w:t>
      </w:r>
    </w:p>
    <w:p>
      <w:pPr>
        <w:pStyle w:val="BodyText"/>
        <w:numPr>
          <w:ilvl w:val="0"/>
          <w:numId w:val="31"/>
        </w:numPr>
        <w:tabs>
          <w:tab w:val="clear" w:pos="1134"/>
          <w:tab w:val="left" w:pos="709" w:leader="none"/>
        </w:tabs>
        <w:bidi w:val="0"/>
        <w:spacing w:before="0" w:after="0"/>
        <w:ind w:hanging="283" w:left="709"/>
        <w:jc w:val="left"/>
        <w:rPr/>
      </w:pPr>
      <w:r>
        <w:rPr>
          <w:rStyle w:val="SourceText"/>
        </w:rPr>
        <w:t>restricted</w:t>
      </w:r>
      <w:r>
        <w:rPr/>
        <w:t xml:space="preserve"> </w:t>
      </w:r>
    </w:p>
    <w:p>
      <w:pPr>
        <w:pStyle w:val="BodyText"/>
        <w:numPr>
          <w:ilvl w:val="0"/>
          <w:numId w:val="31"/>
        </w:numPr>
        <w:tabs>
          <w:tab w:val="clear" w:pos="1134"/>
          <w:tab w:val="left" w:pos="709" w:leader="none"/>
        </w:tabs>
        <w:bidi w:val="0"/>
        <w:spacing w:before="0" w:after="0"/>
        <w:ind w:hanging="283" w:left="709"/>
        <w:jc w:val="left"/>
        <w:rPr/>
      </w:pPr>
      <w:r>
        <w:rPr>
          <w:rStyle w:val="SourceText"/>
        </w:rPr>
        <w:t>suspended</w:t>
      </w:r>
      <w:r>
        <w:rPr/>
        <w:t xml:space="preserve"> </w:t>
      </w:r>
    </w:p>
    <w:p>
      <w:pPr>
        <w:pStyle w:val="BodyText"/>
        <w:numPr>
          <w:ilvl w:val="0"/>
          <w:numId w:val="31"/>
        </w:numPr>
        <w:tabs>
          <w:tab w:val="clear" w:pos="1134"/>
          <w:tab w:val="left" w:pos="709" w:leader="none"/>
        </w:tabs>
        <w:bidi w:val="0"/>
        <w:spacing w:before="0" w:after="0"/>
        <w:ind w:hanging="283" w:left="709"/>
        <w:jc w:val="left"/>
        <w:rPr/>
      </w:pPr>
      <w:r>
        <w:rPr>
          <w:rStyle w:val="SourceText"/>
        </w:rPr>
        <w:t>expired</w:t>
      </w:r>
      <w:r>
        <w:rPr/>
        <w:t xml:space="preserve"> </w:t>
      </w:r>
    </w:p>
    <w:p>
      <w:pPr>
        <w:pStyle w:val="BodyText"/>
        <w:numPr>
          <w:ilvl w:val="0"/>
          <w:numId w:val="31"/>
        </w:numPr>
        <w:tabs>
          <w:tab w:val="clear" w:pos="1134"/>
          <w:tab w:val="left" w:pos="709" w:leader="none"/>
        </w:tabs>
        <w:bidi w:val="0"/>
        <w:ind w:hanging="283" w:left="709"/>
        <w:jc w:val="left"/>
        <w:rPr/>
      </w:pPr>
      <w:r>
        <w:rPr>
          <w:rStyle w:val="SourceText"/>
        </w:rPr>
        <w:t>revoked</w:t>
      </w:r>
      <w:r>
        <w:rPr/>
        <w:t xml:space="preserve"> </w:t>
      </w:r>
    </w:p>
    <w:p>
      <w:pPr>
        <w:pStyle w:val="BodyText"/>
        <w:bidi w:val="0"/>
        <w:jc w:val="left"/>
        <w:rPr/>
      </w:pPr>
      <w:r>
        <w:rPr/>
        <w:t xml:space="preserve">An implementation </w:t>
      </w:r>
      <w:r>
        <w:rPr>
          <w:rStyle w:val="SourceText"/>
        </w:rPr>
        <w:t>MUST NOT</w:t>
      </w:r>
      <w:r>
        <w:rPr/>
        <w:t xml:space="preserve"> advertise a non-active record as a current qualification.</w:t>
      </w:r>
    </w:p>
    <w:p>
      <w:pPr>
        <w:pStyle w:val="Heading2"/>
        <w:bidi w:val="0"/>
        <w:jc w:val="left"/>
        <w:rPr/>
      </w:pPr>
      <w:r>
        <w:rPr/>
        <w:t>13. Material Change and Revalidation</w:t>
      </w:r>
    </w:p>
    <w:p>
      <w:pPr>
        <w:pStyle w:val="BodyText"/>
        <w:bidi w:val="0"/>
        <w:jc w:val="left"/>
        <w:rPr/>
      </w:pPr>
      <w:r>
        <w:rPr/>
        <w:t>Qualification continuity is distinct from identity continuity.</w:t>
      </w:r>
    </w:p>
    <w:p>
      <w:pPr>
        <w:pStyle w:val="BodyText"/>
        <w:bidi w:val="0"/>
        <w:jc w:val="left"/>
        <w:rPr/>
      </w:pPr>
      <w:r>
        <w:rPr/>
        <w:t xml:space="preserve">The same </w:t>
      </w:r>
      <w:r>
        <w:rPr>
          <w:rStyle w:val="SourceText"/>
        </w:rPr>
        <w:t>GAID</w:t>
      </w:r>
      <w:r>
        <w:rPr/>
        <w:t xml:space="preserve"> </w:t>
      </w:r>
      <w:r>
        <w:rPr>
          <w:rStyle w:val="SourceText"/>
        </w:rPr>
        <w:t>MAY</w:t>
      </w:r>
      <w:r>
        <w:rPr/>
        <w:t xml:space="preserve"> remain valid while its qualification becomes pending, restricted, suspended, expired, or revoked.</w:t>
      </w:r>
    </w:p>
    <w:p>
      <w:pPr>
        <w:pStyle w:val="Heading3"/>
        <w:bidi w:val="0"/>
        <w:jc w:val="left"/>
        <w:rPr/>
      </w:pPr>
      <w:r>
        <w:rPr/>
        <w:t>13.1 Minimum material-change triggers</w:t>
      </w:r>
    </w:p>
    <w:p>
      <w:pPr>
        <w:pStyle w:val="BodyText"/>
        <w:bidi w:val="0"/>
        <w:jc w:val="left"/>
        <w:rPr/>
      </w:pPr>
      <w:r>
        <w:rPr/>
        <w:t xml:space="preserve">The scheme </w:t>
      </w:r>
      <w:r>
        <w:rPr>
          <w:rStyle w:val="SourceText"/>
        </w:rPr>
        <w:t>MUST</w:t>
      </w:r>
      <w:r>
        <w:rPr/>
        <w:t xml:space="preserve"> evaluate at least:</w:t>
      </w:r>
    </w:p>
    <w:tbl>
      <w:tblPr>
        <w:tblW w:w="13359" w:type="dxa"/>
        <w:jc w:val="left"/>
        <w:tblInd w:w="0" w:type="dxa"/>
        <w:tblLayout w:type="fixed"/>
        <w:tblCellMar>
          <w:top w:w="28" w:type="dxa"/>
          <w:left w:w="28" w:type="dxa"/>
          <w:bottom w:w="28" w:type="dxa"/>
          <w:right w:w="28" w:type="dxa"/>
        </w:tblCellMar>
      </w:tblPr>
      <w:tblGrid>
        <w:gridCol w:w="6242"/>
        <w:gridCol w:w="7117"/>
      </w:tblGrid>
      <w:tr>
        <w:trPr>
          <w:tblHeader w:val="true"/>
        </w:trPr>
        <w:tc>
          <w:tcPr>
            <w:tcW w:w="6242" w:type="dxa"/>
            <w:tcBorders/>
            <w:vAlign w:val="center"/>
          </w:tcPr>
          <w:p>
            <w:pPr>
              <w:pStyle w:val="TableHeading"/>
              <w:suppressLineNumbers/>
              <w:bidi w:val="0"/>
              <w:spacing w:before="0" w:after="283"/>
              <w:jc w:val="center"/>
              <w:rPr/>
            </w:pPr>
            <w:r>
              <w:rPr/>
              <w:t>Change</w:t>
            </w:r>
          </w:p>
        </w:tc>
        <w:tc>
          <w:tcPr>
            <w:tcW w:w="7117" w:type="dxa"/>
            <w:tcBorders/>
            <w:vAlign w:val="center"/>
          </w:tcPr>
          <w:p>
            <w:pPr>
              <w:pStyle w:val="TableHeading"/>
              <w:suppressLineNumbers/>
              <w:bidi w:val="0"/>
              <w:spacing w:before="0" w:after="283"/>
              <w:jc w:val="center"/>
              <w:rPr/>
            </w:pPr>
            <w:r>
              <w:rPr/>
              <w:t>Required response</w:t>
            </w:r>
          </w:p>
        </w:tc>
      </w:tr>
      <w:tr>
        <w:trPr/>
        <w:tc>
          <w:tcPr>
            <w:tcW w:w="6242" w:type="dxa"/>
            <w:tcBorders/>
            <w:vAlign w:val="center"/>
          </w:tcPr>
          <w:p>
            <w:pPr>
              <w:pStyle w:val="TableContents"/>
              <w:bidi w:val="0"/>
              <w:spacing w:before="0" w:after="283"/>
              <w:jc w:val="left"/>
              <w:rPr/>
            </w:pPr>
            <w:r>
              <w:rPr/>
              <w:t>Model or provider substitution</w:t>
            </w:r>
          </w:p>
        </w:tc>
        <w:tc>
          <w:tcPr>
            <w:tcW w:w="7117" w:type="dxa"/>
            <w:tcBorders/>
            <w:vAlign w:val="center"/>
          </w:tcPr>
          <w:p>
            <w:pPr>
              <w:pStyle w:val="TableContents"/>
              <w:bidi w:val="0"/>
              <w:spacing w:before="0" w:after="283"/>
              <w:jc w:val="left"/>
              <w:rPr/>
            </w:pPr>
            <w:r>
              <w:rPr/>
              <w:t>Impact analysis; re-run affected capability, safety, data, and routing tests</w:t>
            </w:r>
          </w:p>
        </w:tc>
      </w:tr>
      <w:tr>
        <w:trPr/>
        <w:tc>
          <w:tcPr>
            <w:tcW w:w="6242" w:type="dxa"/>
            <w:tcBorders/>
            <w:vAlign w:val="center"/>
          </w:tcPr>
          <w:p>
            <w:pPr>
              <w:pStyle w:val="TableContents"/>
              <w:bidi w:val="0"/>
              <w:spacing w:before="0" w:after="283"/>
              <w:jc w:val="left"/>
              <w:rPr/>
            </w:pPr>
            <w:r>
              <w:rPr/>
              <w:t>Prompt, immutable directive, skill, or profession-corpus change</w:t>
            </w:r>
          </w:p>
        </w:tc>
        <w:tc>
          <w:tcPr>
            <w:tcW w:w="7117" w:type="dxa"/>
            <w:tcBorders/>
            <w:vAlign w:val="center"/>
          </w:tcPr>
          <w:p>
            <w:pPr>
              <w:pStyle w:val="TableContents"/>
              <w:bidi w:val="0"/>
              <w:spacing w:before="0" w:after="283"/>
              <w:jc w:val="left"/>
              <w:rPr/>
            </w:pPr>
            <w:r>
              <w:rPr/>
              <w:t>Re-run affected job scenarios and governance tests</w:t>
            </w:r>
          </w:p>
        </w:tc>
      </w:tr>
      <w:tr>
        <w:trPr/>
        <w:tc>
          <w:tcPr>
            <w:tcW w:w="6242" w:type="dxa"/>
            <w:tcBorders/>
            <w:vAlign w:val="center"/>
          </w:tcPr>
          <w:p>
            <w:pPr>
              <w:pStyle w:val="TableContents"/>
              <w:bidi w:val="0"/>
              <w:spacing w:before="0" w:after="283"/>
              <w:jc w:val="left"/>
              <w:rPr/>
            </w:pPr>
            <w:r>
              <w:rPr/>
              <w:t>Tool, connector, entitlement, or authority change</w:t>
            </w:r>
          </w:p>
        </w:tc>
        <w:tc>
          <w:tcPr>
            <w:tcW w:w="7117" w:type="dxa"/>
            <w:tcBorders/>
            <w:vAlign w:val="center"/>
          </w:tcPr>
          <w:p>
            <w:pPr>
              <w:pStyle w:val="TableContents"/>
              <w:bidi w:val="0"/>
              <w:spacing w:before="0" w:after="283"/>
              <w:jc w:val="left"/>
              <w:rPr/>
            </w:pPr>
            <w:r>
              <w:rPr/>
              <w:t>Re-run tool-boundary, critical-failure, and receipt tests</w:t>
            </w:r>
          </w:p>
        </w:tc>
      </w:tr>
      <w:tr>
        <w:trPr/>
        <w:tc>
          <w:tcPr>
            <w:tcW w:w="6242" w:type="dxa"/>
            <w:tcBorders/>
            <w:vAlign w:val="center"/>
          </w:tcPr>
          <w:p>
            <w:pPr>
              <w:pStyle w:val="TableContents"/>
              <w:bidi w:val="0"/>
              <w:spacing w:before="0" w:after="283"/>
              <w:jc w:val="left"/>
              <w:rPr/>
            </w:pPr>
            <w:r>
              <w:rPr/>
              <w:t>Memory or retrieval-policy change</w:t>
            </w:r>
          </w:p>
        </w:tc>
        <w:tc>
          <w:tcPr>
            <w:tcW w:w="7117" w:type="dxa"/>
            <w:tcBorders/>
            <w:vAlign w:val="center"/>
          </w:tcPr>
          <w:p>
            <w:pPr>
              <w:pStyle w:val="TableContents"/>
              <w:bidi w:val="0"/>
              <w:spacing w:before="0" w:after="283"/>
              <w:jc w:val="left"/>
              <w:rPr/>
            </w:pPr>
            <w:r>
              <w:rPr/>
              <w:t>Re-run provenance, freshness, contamination, and retention tests</w:t>
            </w:r>
          </w:p>
        </w:tc>
      </w:tr>
      <w:tr>
        <w:trPr/>
        <w:tc>
          <w:tcPr>
            <w:tcW w:w="6242" w:type="dxa"/>
            <w:tcBorders/>
            <w:vAlign w:val="center"/>
          </w:tcPr>
          <w:p>
            <w:pPr>
              <w:pStyle w:val="TableContents"/>
              <w:bidi w:val="0"/>
              <w:spacing w:before="0" w:after="283"/>
              <w:jc w:val="left"/>
              <w:rPr/>
            </w:pPr>
            <w:r>
              <w:rPr/>
              <w:t>Decision-axis or weight-policy change</w:t>
            </w:r>
          </w:p>
        </w:tc>
        <w:tc>
          <w:tcPr>
            <w:tcW w:w="7117" w:type="dxa"/>
            <w:tcBorders/>
            <w:vAlign w:val="center"/>
          </w:tcPr>
          <w:p>
            <w:pPr>
              <w:pStyle w:val="TableContents"/>
              <w:bidi w:val="0"/>
              <w:spacing w:before="0" w:after="283"/>
              <w:jc w:val="left"/>
              <w:rPr/>
            </w:pPr>
            <w:r>
              <w:rPr/>
              <w:t>Re-run judgment, calibration, and scope tests</w:t>
            </w:r>
          </w:p>
        </w:tc>
      </w:tr>
      <w:tr>
        <w:trPr/>
        <w:tc>
          <w:tcPr>
            <w:tcW w:w="6242" w:type="dxa"/>
            <w:tcBorders/>
            <w:vAlign w:val="center"/>
          </w:tcPr>
          <w:p>
            <w:pPr>
              <w:pStyle w:val="TableContents"/>
              <w:bidi w:val="0"/>
              <w:spacing w:before="0" w:after="283"/>
              <w:jc w:val="left"/>
              <w:rPr/>
            </w:pPr>
            <w:r>
              <w:rPr/>
              <w:t>Data classification, residency, or permitted-use change</w:t>
            </w:r>
          </w:p>
        </w:tc>
        <w:tc>
          <w:tcPr>
            <w:tcW w:w="7117" w:type="dxa"/>
            <w:tcBorders/>
            <w:vAlign w:val="center"/>
          </w:tcPr>
          <w:p>
            <w:pPr>
              <w:pStyle w:val="TableContents"/>
              <w:bidi w:val="0"/>
              <w:spacing w:before="0" w:after="283"/>
              <w:jc w:val="left"/>
              <w:rPr/>
            </w:pPr>
            <w:r>
              <w:rPr/>
              <w:t>Re-evaluate eligibility and data-handling controls before use</w:t>
            </w:r>
          </w:p>
        </w:tc>
      </w:tr>
      <w:tr>
        <w:trPr/>
        <w:tc>
          <w:tcPr>
            <w:tcW w:w="6242" w:type="dxa"/>
            <w:tcBorders/>
            <w:vAlign w:val="center"/>
          </w:tcPr>
          <w:p>
            <w:pPr>
              <w:pStyle w:val="TableContents"/>
              <w:bidi w:val="0"/>
              <w:spacing w:before="0" w:after="283"/>
              <w:jc w:val="left"/>
              <w:rPr/>
            </w:pPr>
            <w:r>
              <w:rPr/>
              <w:t>Job profile, regulation, workflow, or risk change</w:t>
            </w:r>
          </w:p>
        </w:tc>
        <w:tc>
          <w:tcPr>
            <w:tcW w:w="7117" w:type="dxa"/>
            <w:tcBorders/>
            <w:vAlign w:val="center"/>
          </w:tcPr>
          <w:p>
            <w:pPr>
              <w:pStyle w:val="TableContents"/>
              <w:bidi w:val="0"/>
              <w:spacing w:before="0" w:after="283"/>
              <w:jc w:val="left"/>
              <w:rPr/>
            </w:pPr>
            <w:r>
              <w:rPr/>
              <w:t>Issue a new scope/version and reassess affected activities</w:t>
            </w:r>
          </w:p>
        </w:tc>
      </w:tr>
      <w:tr>
        <w:trPr/>
        <w:tc>
          <w:tcPr>
            <w:tcW w:w="6242" w:type="dxa"/>
            <w:tcBorders/>
            <w:vAlign w:val="center"/>
          </w:tcPr>
          <w:p>
            <w:pPr>
              <w:pStyle w:val="TableContents"/>
              <w:bidi w:val="0"/>
              <w:spacing w:before="0" w:after="283"/>
              <w:jc w:val="left"/>
              <w:rPr/>
            </w:pPr>
            <w:r>
              <w:rPr/>
              <w:t>Harness/runtime dependency change</w:t>
            </w:r>
          </w:p>
        </w:tc>
        <w:tc>
          <w:tcPr>
            <w:tcW w:w="7117" w:type="dxa"/>
            <w:tcBorders/>
            <w:vAlign w:val="center"/>
          </w:tcPr>
          <w:p>
            <w:pPr>
              <w:pStyle w:val="TableContents"/>
              <w:bidi w:val="0"/>
              <w:spacing w:before="0" w:after="283"/>
              <w:jc w:val="left"/>
              <w:rPr/>
            </w:pPr>
            <w:r>
              <w:rPr/>
              <w:t>Assess whether enforcement or practical capability changed</w:t>
            </w:r>
          </w:p>
        </w:tc>
      </w:tr>
      <w:tr>
        <w:trPr/>
        <w:tc>
          <w:tcPr>
            <w:tcW w:w="6242" w:type="dxa"/>
            <w:tcBorders/>
            <w:vAlign w:val="center"/>
          </w:tcPr>
          <w:p>
            <w:pPr>
              <w:pStyle w:val="TableContents"/>
              <w:bidi w:val="0"/>
              <w:spacing w:before="0" w:after="283"/>
              <w:jc w:val="left"/>
              <w:rPr/>
            </w:pPr>
            <w:r>
              <w:rPr/>
              <w:t>Significant incident or performance drift</w:t>
            </w:r>
          </w:p>
        </w:tc>
        <w:tc>
          <w:tcPr>
            <w:tcW w:w="7117" w:type="dxa"/>
            <w:tcBorders/>
            <w:vAlign w:val="center"/>
          </w:tcPr>
          <w:p>
            <w:pPr>
              <w:pStyle w:val="TableContents"/>
              <w:bidi w:val="0"/>
              <w:spacing w:before="0" w:after="283"/>
              <w:jc w:val="left"/>
              <w:rPr/>
            </w:pPr>
            <w:r>
              <w:rPr/>
              <w:t>Restrict or suspend the affected scope pending review</w:t>
            </w:r>
          </w:p>
        </w:tc>
      </w:tr>
    </w:tbl>
    <w:p>
      <w:pPr>
        <w:pStyle w:val="Heading3"/>
        <w:bidi w:val="0"/>
        <w:jc w:val="left"/>
        <w:rPr/>
      </w:pPr>
      <w:r>
        <w:rPr/>
        <w:t>13.2 Fail-safe continuity</w:t>
      </w:r>
    </w:p>
    <w:p>
      <w:pPr>
        <w:pStyle w:val="BodyText"/>
        <w:bidi w:val="0"/>
        <w:jc w:val="left"/>
        <w:rPr/>
      </w:pPr>
      <w:r>
        <w:rPr/>
        <w:t>When the impact of a material change is unresolved:</w:t>
      </w:r>
    </w:p>
    <w:p>
      <w:pPr>
        <w:pStyle w:val="BodyText"/>
        <w:numPr>
          <w:ilvl w:val="0"/>
          <w:numId w:val="32"/>
        </w:numPr>
        <w:tabs>
          <w:tab w:val="clear" w:pos="1134"/>
          <w:tab w:val="left" w:pos="709" w:leader="none"/>
        </w:tabs>
        <w:bidi w:val="0"/>
        <w:spacing w:before="0" w:after="0"/>
        <w:ind w:hanging="283" w:left="709"/>
        <w:jc w:val="left"/>
        <w:rPr/>
      </w:pPr>
      <w:r>
        <w:rPr/>
        <w:t xml:space="preserve">the record </w:t>
      </w:r>
      <w:r>
        <w:rPr>
          <w:rStyle w:val="SourceText"/>
        </w:rPr>
        <w:t>MUST</w:t>
      </w:r>
      <w:r>
        <w:rPr/>
        <w:t xml:space="preserve"> move to </w:t>
      </w:r>
      <w:r>
        <w:rPr>
          <w:rStyle w:val="SourceText"/>
        </w:rPr>
        <w:t>pending-revalidation</w:t>
      </w:r>
      <w:r>
        <w:rPr/>
        <w:t xml:space="preserve">, </w:t>
      </w:r>
      <w:r>
        <w:rPr>
          <w:rStyle w:val="SourceText"/>
        </w:rPr>
        <w:t>restricted</w:t>
      </w:r>
      <w:r>
        <w:rPr/>
        <w:t xml:space="preserve">, or </w:t>
      </w:r>
      <w:r>
        <w:rPr>
          <w:rStyle w:val="SourceText"/>
        </w:rPr>
        <w:t>suspended</w:t>
      </w:r>
      <w:r>
        <w:rPr/>
        <w:t xml:space="preserve"> </w:t>
      </w:r>
    </w:p>
    <w:p>
      <w:pPr>
        <w:pStyle w:val="BodyText"/>
        <w:numPr>
          <w:ilvl w:val="0"/>
          <w:numId w:val="32"/>
        </w:numPr>
        <w:tabs>
          <w:tab w:val="clear" w:pos="1134"/>
          <w:tab w:val="left" w:pos="709" w:leader="none"/>
        </w:tabs>
        <w:bidi w:val="0"/>
        <w:spacing w:before="0" w:after="0"/>
        <w:ind w:hanging="283" w:left="709"/>
        <w:jc w:val="left"/>
        <w:rPr/>
      </w:pPr>
      <w:r>
        <w:rPr/>
        <w:t xml:space="preserve">the runtime </w:t>
      </w:r>
      <w:r>
        <w:rPr>
          <w:rStyle w:val="SourceText"/>
        </w:rPr>
        <w:t>MUST NOT</w:t>
      </w:r>
      <w:r>
        <w:rPr/>
        <w:t xml:space="preserve"> increase autonomy </w:t>
      </w:r>
    </w:p>
    <w:p>
      <w:pPr>
        <w:pStyle w:val="BodyText"/>
        <w:numPr>
          <w:ilvl w:val="0"/>
          <w:numId w:val="32"/>
        </w:numPr>
        <w:tabs>
          <w:tab w:val="clear" w:pos="1134"/>
          <w:tab w:val="left" w:pos="709" w:leader="none"/>
        </w:tabs>
        <w:bidi w:val="0"/>
        <w:spacing w:before="0" w:after="0"/>
        <w:ind w:hanging="283" w:left="709"/>
        <w:jc w:val="left"/>
        <w:rPr/>
      </w:pPr>
      <w:r>
        <w:rPr/>
        <w:t xml:space="preserve">the runtime </w:t>
      </w:r>
      <w:r>
        <w:rPr>
          <w:rStyle w:val="SourceText"/>
        </w:rPr>
        <w:t>MAY</w:t>
      </w:r>
      <w:r>
        <w:rPr/>
        <w:t xml:space="preserve"> continue only at a lower, explicitly permitted oversight tier </w:t>
      </w:r>
    </w:p>
    <w:p>
      <w:pPr>
        <w:pStyle w:val="BodyText"/>
        <w:numPr>
          <w:ilvl w:val="0"/>
          <w:numId w:val="32"/>
        </w:numPr>
        <w:tabs>
          <w:tab w:val="clear" w:pos="1134"/>
          <w:tab w:val="left" w:pos="709" w:leader="none"/>
        </w:tabs>
        <w:bidi w:val="0"/>
        <w:ind w:hanging="283" w:left="709"/>
        <w:jc w:val="left"/>
        <w:rPr/>
      </w:pPr>
      <w:r>
        <w:rPr/>
        <w:t xml:space="preserve">relying parties </w:t>
      </w:r>
      <w:r>
        <w:rPr>
          <w:rStyle w:val="SourceText"/>
        </w:rPr>
        <w:t>MUST</w:t>
      </w:r>
      <w:r>
        <w:rPr/>
        <w:t xml:space="preserve"> be able to observe the changed status </w:t>
      </w:r>
    </w:p>
    <w:p>
      <w:pPr>
        <w:pStyle w:val="Heading3"/>
        <w:bidi w:val="0"/>
        <w:jc w:val="left"/>
        <w:rPr/>
      </w:pPr>
      <w:r>
        <w:rPr/>
        <w:t>13.3 Surveillance and renewal</w:t>
      </w:r>
    </w:p>
    <w:p>
      <w:pPr>
        <w:pStyle w:val="BodyText"/>
        <w:bidi w:val="0"/>
        <w:jc w:val="left"/>
        <w:rPr/>
      </w:pPr>
      <w:r>
        <w:rPr>
          <w:rStyle w:val="SourceText"/>
        </w:rPr>
        <w:t>TAK-JSI-Qualified</w:t>
      </w:r>
      <w:r>
        <w:rPr/>
        <w:t xml:space="preserve"> implementations </w:t>
      </w:r>
      <w:r>
        <w:rPr>
          <w:rStyle w:val="SourceText"/>
        </w:rPr>
        <w:t>MUST</w:t>
      </w:r>
      <w:r>
        <w:rPr/>
        <w:t xml:space="preserve"> define surveillance between formal assessments.</w:t>
      </w:r>
    </w:p>
    <w:p>
      <w:pPr>
        <w:pStyle w:val="BodyText"/>
        <w:bidi w:val="0"/>
        <w:jc w:val="left"/>
        <w:rPr/>
      </w:pPr>
      <w:r>
        <w:rPr/>
        <w:t xml:space="preserve">Surveillance </w:t>
      </w:r>
      <w:r>
        <w:rPr>
          <w:rStyle w:val="SourceText"/>
        </w:rPr>
        <w:t>SHOULD</w:t>
      </w:r>
      <w:r>
        <w:rPr/>
        <w:t xml:space="preserve"> use:</w:t>
      </w:r>
    </w:p>
    <w:p>
      <w:pPr>
        <w:pStyle w:val="BodyText"/>
        <w:numPr>
          <w:ilvl w:val="0"/>
          <w:numId w:val="33"/>
        </w:numPr>
        <w:tabs>
          <w:tab w:val="clear" w:pos="1134"/>
          <w:tab w:val="left" w:pos="709" w:leader="none"/>
        </w:tabs>
        <w:bidi w:val="0"/>
        <w:spacing w:before="0" w:after="0"/>
        <w:ind w:hanging="283" w:left="709"/>
        <w:jc w:val="left"/>
        <w:rPr/>
      </w:pPr>
      <w:r>
        <w:rPr/>
        <w:t xml:space="preserve">outcome quality </w:t>
      </w:r>
    </w:p>
    <w:p>
      <w:pPr>
        <w:pStyle w:val="BodyText"/>
        <w:numPr>
          <w:ilvl w:val="0"/>
          <w:numId w:val="33"/>
        </w:numPr>
        <w:tabs>
          <w:tab w:val="clear" w:pos="1134"/>
          <w:tab w:val="left" w:pos="709" w:leader="none"/>
        </w:tabs>
        <w:bidi w:val="0"/>
        <w:spacing w:before="0" w:after="0"/>
        <w:ind w:hanging="283" w:left="709"/>
        <w:jc w:val="left"/>
        <w:rPr/>
      </w:pPr>
      <w:r>
        <w:rPr/>
        <w:t xml:space="preserve">exception and escalation patterns </w:t>
      </w:r>
    </w:p>
    <w:p>
      <w:pPr>
        <w:pStyle w:val="BodyText"/>
        <w:numPr>
          <w:ilvl w:val="0"/>
          <w:numId w:val="33"/>
        </w:numPr>
        <w:tabs>
          <w:tab w:val="clear" w:pos="1134"/>
          <w:tab w:val="left" w:pos="709" w:leader="none"/>
        </w:tabs>
        <w:bidi w:val="0"/>
        <w:spacing w:before="0" w:after="0"/>
        <w:ind w:hanging="283" w:left="709"/>
        <w:jc w:val="left"/>
        <w:rPr/>
      </w:pPr>
      <w:r>
        <w:rPr/>
        <w:t xml:space="preserve">critical-failure events </w:t>
      </w:r>
    </w:p>
    <w:p>
      <w:pPr>
        <w:pStyle w:val="BodyText"/>
        <w:numPr>
          <w:ilvl w:val="0"/>
          <w:numId w:val="33"/>
        </w:numPr>
        <w:tabs>
          <w:tab w:val="clear" w:pos="1134"/>
          <w:tab w:val="left" w:pos="709" w:leader="none"/>
        </w:tabs>
        <w:bidi w:val="0"/>
        <w:spacing w:before="0" w:after="0"/>
        <w:ind w:hanging="283" w:left="709"/>
        <w:jc w:val="left"/>
        <w:rPr/>
      </w:pPr>
      <w:r>
        <w:rPr/>
        <w:t xml:space="preserve">route/model substitutions </w:t>
      </w:r>
    </w:p>
    <w:p>
      <w:pPr>
        <w:pStyle w:val="BodyText"/>
        <w:numPr>
          <w:ilvl w:val="0"/>
          <w:numId w:val="33"/>
        </w:numPr>
        <w:tabs>
          <w:tab w:val="clear" w:pos="1134"/>
          <w:tab w:val="left" w:pos="709" w:leader="none"/>
        </w:tabs>
        <w:bidi w:val="0"/>
        <w:spacing w:before="0" w:after="0"/>
        <w:ind w:hanging="283" w:left="709"/>
        <w:jc w:val="left"/>
        <w:rPr/>
      </w:pPr>
      <w:r>
        <w:rPr/>
        <w:t xml:space="preserve">data-quality or freshness incidents </w:t>
      </w:r>
    </w:p>
    <w:p>
      <w:pPr>
        <w:pStyle w:val="BodyText"/>
        <w:numPr>
          <w:ilvl w:val="0"/>
          <w:numId w:val="33"/>
        </w:numPr>
        <w:tabs>
          <w:tab w:val="clear" w:pos="1134"/>
          <w:tab w:val="left" w:pos="709" w:leader="none"/>
        </w:tabs>
        <w:bidi w:val="0"/>
        <w:spacing w:before="0" w:after="0"/>
        <w:ind w:hanging="283" w:left="709"/>
        <w:jc w:val="left"/>
        <w:rPr/>
      </w:pPr>
      <w:r>
        <w:rPr/>
        <w:t xml:space="preserve">human corrections and overrides </w:t>
      </w:r>
    </w:p>
    <w:p>
      <w:pPr>
        <w:pStyle w:val="BodyText"/>
        <w:numPr>
          <w:ilvl w:val="0"/>
          <w:numId w:val="33"/>
        </w:numPr>
        <w:tabs>
          <w:tab w:val="clear" w:pos="1134"/>
          <w:tab w:val="left" w:pos="709" w:leader="none"/>
        </w:tabs>
        <w:bidi w:val="0"/>
        <w:ind w:hanging="283" w:left="709"/>
        <w:jc w:val="left"/>
        <w:rPr/>
      </w:pPr>
      <w:r>
        <w:rPr/>
        <w:t xml:space="preserve">drift against qualification thresholds </w:t>
      </w:r>
    </w:p>
    <w:p>
      <w:pPr>
        <w:pStyle w:val="BodyText"/>
        <w:bidi w:val="0"/>
        <w:jc w:val="left"/>
        <w:rPr/>
      </w:pPr>
      <w:r>
        <w:rPr/>
        <w:t xml:space="preserve">Qualification renewal </w:t>
      </w:r>
      <w:r>
        <w:rPr>
          <w:rStyle w:val="SourceText"/>
        </w:rPr>
        <w:t>MUST</w:t>
      </w:r>
      <w:r>
        <w:rPr/>
        <w:t xml:space="preserve"> consider operational evidence, not merely rerun a static benchmark.</w:t>
      </w:r>
    </w:p>
    <w:p>
      <w:pPr>
        <w:pStyle w:val="Heading2"/>
        <w:bidi w:val="0"/>
        <w:jc w:val="left"/>
        <w:rPr/>
      </w:pPr>
      <w:r>
        <w:rPr/>
        <w:t>14. Qualification and Earned Autonomy</w:t>
      </w:r>
    </w:p>
    <w:p>
      <w:pPr>
        <w:pStyle w:val="BodyText"/>
        <w:bidi w:val="0"/>
        <w:jc w:val="left"/>
        <w:rPr/>
      </w:pPr>
      <w:r>
        <w:rPr/>
        <w:t>Qualification sets a ceiling; it does not grant authority.</w:t>
      </w:r>
    </w:p>
    <w:p>
      <w:pPr>
        <w:pStyle w:val="BodyText"/>
        <w:bidi w:val="0"/>
        <w:jc w:val="left"/>
        <w:rPr/>
      </w:pPr>
      <w:r>
        <w:rPr/>
        <w:t xml:space="preserve">At execution time, </w:t>
      </w:r>
      <w:r>
        <w:rPr>
          <w:rStyle w:val="SourceText"/>
        </w:rPr>
        <w:t>TAK</w:t>
      </w:r>
      <w:r>
        <w:rPr/>
        <w:t xml:space="preserve"> </w:t>
      </w:r>
      <w:r>
        <w:rPr>
          <w:rStyle w:val="SourceText"/>
        </w:rPr>
        <w:t>MUST</w:t>
      </w:r>
      <w:r>
        <w:rPr/>
        <w:t xml:space="preserve"> compute the effective action posture from the intersection of:</w:t>
      </w:r>
    </w:p>
    <w:p>
      <w:pPr>
        <w:pStyle w:val="PreformattedText"/>
        <w:bidi w:val="0"/>
        <w:jc w:val="left"/>
        <w:rPr/>
      </w:pPr>
      <w:r>
        <w:rPr>
          <w:rStyle w:val="SourceText"/>
        </w:rPr>
        <w:t>principal authority</w:t>
      </w:r>
    </w:p>
    <w:p>
      <w:pPr>
        <w:pStyle w:val="PreformattedText"/>
        <w:bidi w:val="0"/>
        <w:jc w:val="left"/>
        <w:rPr/>
      </w:pPr>
      <w:r>
        <w:rPr>
          <w:rStyle w:val="SourceText"/>
        </w:rPr>
        <w:t xml:space="preserve">∩ </w:t>
      </w:r>
      <w:r>
        <w:rPr>
          <w:rStyle w:val="SourceText"/>
        </w:rPr>
        <w:t>agent grants</w:t>
      </w:r>
    </w:p>
    <w:p>
      <w:pPr>
        <w:pStyle w:val="PreformattedText"/>
        <w:bidi w:val="0"/>
        <w:jc w:val="left"/>
        <w:rPr/>
      </w:pPr>
      <w:r>
        <w:rPr>
          <w:rStyle w:val="SourceText"/>
        </w:rPr>
        <w:t xml:space="preserve">∩ </w:t>
      </w:r>
      <w:r>
        <w:rPr>
          <w:rStyle w:val="SourceText"/>
        </w:rPr>
        <w:t>route/workflow policy</w:t>
      </w:r>
    </w:p>
    <w:p>
      <w:pPr>
        <w:pStyle w:val="PreformattedText"/>
        <w:bidi w:val="0"/>
        <w:jc w:val="left"/>
        <w:rPr/>
      </w:pPr>
      <w:r>
        <w:rPr>
          <w:rStyle w:val="SourceText"/>
        </w:rPr>
        <w:t xml:space="preserve">∩ </w:t>
      </w:r>
      <w:r>
        <w:rPr>
          <w:rStyle w:val="SourceText"/>
        </w:rPr>
        <w:t>qualification scope and status</w:t>
      </w:r>
    </w:p>
    <w:p>
      <w:pPr>
        <w:pStyle w:val="PreformattedText"/>
        <w:bidi w:val="0"/>
        <w:jc w:val="left"/>
        <w:rPr/>
      </w:pPr>
      <w:r>
        <w:rPr>
          <w:rStyle w:val="SourceText"/>
        </w:rPr>
        <w:t xml:space="preserve">∩ </w:t>
      </w:r>
      <w:r>
        <w:rPr>
          <w:rStyle w:val="SourceText"/>
        </w:rPr>
        <w:t>data/residency constraints</w:t>
      </w:r>
    </w:p>
    <w:p>
      <w:pPr>
        <w:pStyle w:val="PreformattedText"/>
        <w:bidi w:val="0"/>
        <w:jc w:val="left"/>
        <w:rPr/>
      </w:pPr>
      <w:r>
        <w:rPr>
          <w:rStyle w:val="SourceText"/>
        </w:rPr>
        <w:t xml:space="preserve">∩ </w:t>
      </w:r>
      <w:r>
        <w:rPr>
          <w:rStyle w:val="SourceText"/>
        </w:rPr>
        <w:t>regulatory and contractual ceilings</w:t>
      </w:r>
    </w:p>
    <w:p>
      <w:pPr>
        <w:pStyle w:val="PreformattedText"/>
        <w:bidi w:val="0"/>
        <w:spacing w:before="0" w:after="283"/>
        <w:jc w:val="left"/>
        <w:rPr/>
      </w:pPr>
      <w:r>
        <w:rPr>
          <w:rStyle w:val="SourceText"/>
        </w:rPr>
        <w:t xml:space="preserve">∩ </w:t>
      </w:r>
      <w:r>
        <w:rPr>
          <w:rStyle w:val="SourceText"/>
        </w:rPr>
        <w:t>evidence-earned autonomy for (agent × activity × risk)</w:t>
      </w:r>
    </w:p>
    <w:p>
      <w:pPr>
        <w:pStyle w:val="Heading3"/>
        <w:bidi w:val="0"/>
        <w:jc w:val="left"/>
        <w:rPr/>
      </w:pPr>
      <w:r>
        <w:rPr/>
        <w:t>14.1 Progressive autonomy</w:t>
      </w:r>
    </w:p>
    <w:p>
      <w:pPr>
        <w:pStyle w:val="BodyText"/>
        <w:bidi w:val="0"/>
        <w:jc w:val="left"/>
        <w:rPr/>
      </w:pPr>
      <w:r>
        <w:rPr/>
        <w:t xml:space="preserve">An implementation </w:t>
      </w:r>
      <w:r>
        <w:rPr>
          <w:rStyle w:val="SourceText"/>
        </w:rPr>
        <w:t>MAY</w:t>
      </w:r>
      <w:r>
        <w:rPr/>
        <w:t xml:space="preserve"> use a progression such as:</w:t>
      </w:r>
    </w:p>
    <w:p>
      <w:pPr>
        <w:pStyle w:val="BodyText"/>
        <w:numPr>
          <w:ilvl w:val="0"/>
          <w:numId w:val="34"/>
        </w:numPr>
        <w:tabs>
          <w:tab w:val="clear" w:pos="1134"/>
          <w:tab w:val="left" w:pos="709" w:leader="none"/>
        </w:tabs>
        <w:bidi w:val="0"/>
        <w:spacing w:before="0" w:after="0"/>
        <w:ind w:hanging="283" w:left="709"/>
        <w:jc w:val="left"/>
        <w:rPr/>
      </w:pPr>
      <w:r>
        <w:rPr/>
        <w:t xml:space="preserve">shadow or observe only </w:t>
      </w:r>
    </w:p>
    <w:p>
      <w:pPr>
        <w:pStyle w:val="BodyText"/>
        <w:numPr>
          <w:ilvl w:val="0"/>
          <w:numId w:val="34"/>
        </w:numPr>
        <w:tabs>
          <w:tab w:val="clear" w:pos="1134"/>
          <w:tab w:val="left" w:pos="709" w:leader="none"/>
        </w:tabs>
        <w:bidi w:val="0"/>
        <w:spacing w:before="0" w:after="0"/>
        <w:ind w:hanging="283" w:left="709"/>
        <w:jc w:val="left"/>
        <w:rPr/>
      </w:pPr>
      <w:r>
        <w:rPr/>
        <w:t xml:space="preserve">recommend or propose </w:t>
      </w:r>
    </w:p>
    <w:p>
      <w:pPr>
        <w:pStyle w:val="BodyText"/>
        <w:numPr>
          <w:ilvl w:val="0"/>
          <w:numId w:val="34"/>
        </w:numPr>
        <w:tabs>
          <w:tab w:val="clear" w:pos="1134"/>
          <w:tab w:val="left" w:pos="709" w:leader="none"/>
        </w:tabs>
        <w:bidi w:val="0"/>
        <w:spacing w:before="0" w:after="0"/>
        <w:ind w:hanging="283" w:left="709"/>
        <w:jc w:val="left"/>
        <w:rPr/>
      </w:pPr>
      <w:r>
        <w:rPr/>
        <w:t xml:space="preserve">bounded execution with post-action review </w:t>
      </w:r>
    </w:p>
    <w:p>
      <w:pPr>
        <w:pStyle w:val="BodyText"/>
        <w:numPr>
          <w:ilvl w:val="0"/>
          <w:numId w:val="34"/>
        </w:numPr>
        <w:tabs>
          <w:tab w:val="clear" w:pos="1134"/>
          <w:tab w:val="left" w:pos="709" w:leader="none"/>
        </w:tabs>
        <w:bidi w:val="0"/>
        <w:ind w:hanging="283" w:left="709"/>
        <w:jc w:val="left"/>
        <w:rPr/>
      </w:pPr>
      <w:r>
        <w:rPr/>
        <w:t xml:space="preserve">bounded autonomous execution with mandatory evidence </w:t>
      </w:r>
    </w:p>
    <w:p>
      <w:pPr>
        <w:pStyle w:val="BodyText"/>
        <w:bidi w:val="0"/>
        <w:jc w:val="left"/>
        <w:rPr/>
      </w:pPr>
      <w:r>
        <w:rPr/>
        <w:t xml:space="preserve">Progression </w:t>
      </w:r>
      <w:r>
        <w:rPr>
          <w:rStyle w:val="SourceText"/>
        </w:rPr>
        <w:t>MUST</w:t>
      </w:r>
      <w:r>
        <w:rPr/>
        <w:t xml:space="preserve"> be:</w:t>
      </w:r>
    </w:p>
    <w:p>
      <w:pPr>
        <w:pStyle w:val="BodyText"/>
        <w:numPr>
          <w:ilvl w:val="0"/>
          <w:numId w:val="35"/>
        </w:numPr>
        <w:tabs>
          <w:tab w:val="clear" w:pos="1134"/>
          <w:tab w:val="left" w:pos="709" w:leader="none"/>
        </w:tabs>
        <w:bidi w:val="0"/>
        <w:spacing w:before="0" w:after="0"/>
        <w:ind w:hanging="283" w:left="709"/>
        <w:jc w:val="left"/>
        <w:rPr/>
      </w:pPr>
      <w:r>
        <w:rPr/>
        <w:t xml:space="preserve">scoped to a specific agent, activity, and risk class </w:t>
      </w:r>
    </w:p>
    <w:p>
      <w:pPr>
        <w:pStyle w:val="BodyText"/>
        <w:numPr>
          <w:ilvl w:val="0"/>
          <w:numId w:val="35"/>
        </w:numPr>
        <w:tabs>
          <w:tab w:val="clear" w:pos="1134"/>
          <w:tab w:val="left" w:pos="709" w:leader="none"/>
        </w:tabs>
        <w:bidi w:val="0"/>
        <w:spacing w:before="0" w:after="0"/>
        <w:ind w:hanging="283" w:left="709"/>
        <w:jc w:val="left"/>
        <w:rPr/>
      </w:pPr>
      <w:r>
        <w:rPr/>
        <w:t xml:space="preserve">based on verified outcomes and critical-failure history </w:t>
      </w:r>
    </w:p>
    <w:p>
      <w:pPr>
        <w:pStyle w:val="BodyText"/>
        <w:numPr>
          <w:ilvl w:val="0"/>
          <w:numId w:val="35"/>
        </w:numPr>
        <w:tabs>
          <w:tab w:val="clear" w:pos="1134"/>
          <w:tab w:val="left" w:pos="709" w:leader="none"/>
        </w:tabs>
        <w:bidi w:val="0"/>
        <w:spacing w:before="0" w:after="0"/>
        <w:ind w:hanging="283" w:left="709"/>
        <w:jc w:val="left"/>
        <w:rPr/>
      </w:pPr>
      <w:r>
        <w:rPr/>
        <w:t xml:space="preserve">reversible </w:t>
      </w:r>
    </w:p>
    <w:p>
      <w:pPr>
        <w:pStyle w:val="BodyText"/>
        <w:numPr>
          <w:ilvl w:val="0"/>
          <w:numId w:val="35"/>
        </w:numPr>
        <w:tabs>
          <w:tab w:val="clear" w:pos="1134"/>
          <w:tab w:val="left" w:pos="709" w:leader="none"/>
        </w:tabs>
        <w:bidi w:val="0"/>
        <w:spacing w:before="0" w:after="0"/>
        <w:ind w:hanging="283" w:left="709"/>
        <w:jc w:val="left"/>
        <w:rPr/>
      </w:pPr>
      <w:r>
        <w:rPr/>
        <w:t xml:space="preserve">capped by the job qualification and external policy </w:t>
      </w:r>
    </w:p>
    <w:p>
      <w:pPr>
        <w:pStyle w:val="BodyText"/>
        <w:numPr>
          <w:ilvl w:val="0"/>
          <w:numId w:val="35"/>
        </w:numPr>
        <w:tabs>
          <w:tab w:val="clear" w:pos="1134"/>
          <w:tab w:val="left" w:pos="709" w:leader="none"/>
        </w:tabs>
        <w:bidi w:val="0"/>
        <w:ind w:hanging="283" w:left="709"/>
        <w:jc w:val="left"/>
        <w:rPr/>
      </w:pPr>
      <w:r>
        <w:rPr/>
        <w:t xml:space="preserve">visible to a supervisor or relying party </w:t>
      </w:r>
    </w:p>
    <w:p>
      <w:pPr>
        <w:pStyle w:val="BodyText"/>
        <w:bidi w:val="0"/>
        <w:jc w:val="left"/>
        <w:rPr/>
      </w:pPr>
      <w:r>
        <w:rPr/>
        <w:t xml:space="preserve">Agreement with a human alone </w:t>
      </w:r>
      <w:r>
        <w:rPr>
          <w:rStyle w:val="SourceText"/>
        </w:rPr>
        <w:t>MUST NOT</w:t>
      </w:r>
      <w:r>
        <w:rPr/>
        <w:t xml:space="preserve"> be treated as sufficient proof of competence when both may share the same error or incomplete evidence.</w:t>
      </w:r>
    </w:p>
    <w:p>
      <w:pPr>
        <w:pStyle w:val="Heading3"/>
        <w:bidi w:val="0"/>
        <w:jc w:val="left"/>
        <w:rPr/>
      </w:pPr>
      <w:r>
        <w:rPr/>
        <w:t>14.2 Regression</w:t>
      </w:r>
    </w:p>
    <w:p>
      <w:pPr>
        <w:pStyle w:val="BodyText"/>
        <w:bidi w:val="0"/>
        <w:jc w:val="left"/>
        <w:rPr/>
      </w:pPr>
      <w:r>
        <w:rPr/>
        <w:t xml:space="preserve">The runtime </w:t>
      </w:r>
      <w:r>
        <w:rPr>
          <w:rStyle w:val="SourceText"/>
        </w:rPr>
        <w:t>MUST</w:t>
      </w:r>
      <w:r>
        <w:rPr/>
        <w:t xml:space="preserve"> support reducing autonomy when:</w:t>
      </w:r>
    </w:p>
    <w:p>
      <w:pPr>
        <w:pStyle w:val="BodyText"/>
        <w:numPr>
          <w:ilvl w:val="0"/>
          <w:numId w:val="36"/>
        </w:numPr>
        <w:tabs>
          <w:tab w:val="clear" w:pos="1134"/>
          <w:tab w:val="left" w:pos="709" w:leader="none"/>
        </w:tabs>
        <w:bidi w:val="0"/>
        <w:spacing w:before="0" w:after="0"/>
        <w:ind w:hanging="283" w:left="709"/>
        <w:jc w:val="left"/>
        <w:rPr/>
      </w:pPr>
      <w:r>
        <w:rPr/>
        <w:t xml:space="preserve">qualification status changes </w:t>
      </w:r>
    </w:p>
    <w:p>
      <w:pPr>
        <w:pStyle w:val="BodyText"/>
        <w:numPr>
          <w:ilvl w:val="0"/>
          <w:numId w:val="36"/>
        </w:numPr>
        <w:tabs>
          <w:tab w:val="clear" w:pos="1134"/>
          <w:tab w:val="left" w:pos="709" w:leader="none"/>
        </w:tabs>
        <w:bidi w:val="0"/>
        <w:spacing w:before="0" w:after="0"/>
        <w:ind w:hanging="283" w:left="709"/>
        <w:jc w:val="left"/>
        <w:rPr/>
      </w:pPr>
      <w:r>
        <w:rPr/>
        <w:t xml:space="preserve">evidence freshness expires </w:t>
      </w:r>
    </w:p>
    <w:p>
      <w:pPr>
        <w:pStyle w:val="BodyText"/>
        <w:numPr>
          <w:ilvl w:val="0"/>
          <w:numId w:val="36"/>
        </w:numPr>
        <w:tabs>
          <w:tab w:val="clear" w:pos="1134"/>
          <w:tab w:val="left" w:pos="709" w:leader="none"/>
        </w:tabs>
        <w:bidi w:val="0"/>
        <w:spacing w:before="0" w:after="0"/>
        <w:ind w:hanging="283" w:left="709"/>
        <w:jc w:val="left"/>
        <w:rPr/>
      </w:pPr>
      <w:r>
        <w:rPr/>
        <w:t xml:space="preserve">performance drifts </w:t>
      </w:r>
    </w:p>
    <w:p>
      <w:pPr>
        <w:pStyle w:val="BodyText"/>
        <w:numPr>
          <w:ilvl w:val="0"/>
          <w:numId w:val="36"/>
        </w:numPr>
        <w:tabs>
          <w:tab w:val="clear" w:pos="1134"/>
          <w:tab w:val="left" w:pos="709" w:leader="none"/>
        </w:tabs>
        <w:bidi w:val="0"/>
        <w:spacing w:before="0" w:after="0"/>
        <w:ind w:hanging="283" w:left="709"/>
        <w:jc w:val="left"/>
        <w:rPr/>
      </w:pPr>
      <w:r>
        <w:rPr/>
        <w:t xml:space="preserve">a critical failure occurs </w:t>
      </w:r>
    </w:p>
    <w:p>
      <w:pPr>
        <w:pStyle w:val="BodyText"/>
        <w:numPr>
          <w:ilvl w:val="0"/>
          <w:numId w:val="36"/>
        </w:numPr>
        <w:tabs>
          <w:tab w:val="clear" w:pos="1134"/>
          <w:tab w:val="left" w:pos="709" w:leader="none"/>
        </w:tabs>
        <w:bidi w:val="0"/>
        <w:spacing w:before="0" w:after="0"/>
        <w:ind w:hanging="283" w:left="709"/>
        <w:jc w:val="left"/>
        <w:rPr/>
      </w:pPr>
      <w:r>
        <w:rPr/>
        <w:t xml:space="preserve">the job, data, tools, or regulation changes </w:t>
      </w:r>
    </w:p>
    <w:p>
      <w:pPr>
        <w:pStyle w:val="BodyText"/>
        <w:numPr>
          <w:ilvl w:val="0"/>
          <w:numId w:val="36"/>
        </w:numPr>
        <w:tabs>
          <w:tab w:val="clear" w:pos="1134"/>
          <w:tab w:val="left" w:pos="709" w:leader="none"/>
        </w:tabs>
        <w:bidi w:val="0"/>
        <w:ind w:hanging="283" w:left="709"/>
        <w:jc w:val="left"/>
        <w:rPr/>
      </w:pPr>
      <w:r>
        <w:rPr/>
        <w:t xml:space="preserve">required human oversight is unavailable </w:t>
      </w:r>
    </w:p>
    <w:p>
      <w:pPr>
        <w:pStyle w:val="Heading2"/>
        <w:bidi w:val="0"/>
        <w:jc w:val="left"/>
        <w:rPr/>
      </w:pPr>
      <w:r>
        <w:rPr/>
        <w:t>15. GAID Binding and Advertisement</w:t>
      </w:r>
    </w:p>
    <w:p>
      <w:pPr>
        <w:pStyle w:val="BodyText"/>
        <w:bidi w:val="0"/>
        <w:jc w:val="left"/>
        <w:rPr/>
      </w:pPr>
      <w:r>
        <w:rPr/>
        <w:t xml:space="preserve">Every advertised </w:t>
      </w:r>
      <w:r>
        <w:rPr>
          <w:rStyle w:val="SourceText"/>
        </w:rPr>
        <w:t>TAK-JSI-Assessed</w:t>
      </w:r>
      <w:r>
        <w:rPr/>
        <w:t xml:space="preserve"> or </w:t>
      </w:r>
      <w:r>
        <w:rPr>
          <w:rStyle w:val="SourceText"/>
        </w:rPr>
        <w:t>TAK-JSI-Qualified</w:t>
      </w:r>
      <w:r>
        <w:rPr/>
        <w:t xml:space="preserve"> claim </w:t>
      </w:r>
      <w:r>
        <w:rPr>
          <w:rStyle w:val="SourceText"/>
        </w:rPr>
        <w:t>MUST</w:t>
      </w:r>
      <w:r>
        <w:rPr/>
        <w:t xml:space="preserve"> bind to:</w:t>
      </w:r>
    </w:p>
    <w:p>
      <w:pPr>
        <w:pStyle w:val="BodyText"/>
        <w:numPr>
          <w:ilvl w:val="0"/>
          <w:numId w:val="37"/>
        </w:numPr>
        <w:tabs>
          <w:tab w:val="clear" w:pos="1134"/>
          <w:tab w:val="left" w:pos="709" w:leader="none"/>
        </w:tabs>
        <w:bidi w:val="0"/>
        <w:spacing w:before="0" w:after="0"/>
        <w:ind w:hanging="283" w:left="709"/>
        <w:jc w:val="left"/>
        <w:rPr/>
      </w:pPr>
      <w:r>
        <w:rPr/>
        <w:t xml:space="preserve">a resolvable </w:t>
      </w:r>
      <w:r>
        <w:rPr>
          <w:rStyle w:val="SourceText"/>
        </w:rPr>
        <w:t>GAID</w:t>
      </w:r>
      <w:r>
        <w:rPr/>
        <w:t xml:space="preserve"> </w:t>
      </w:r>
    </w:p>
    <w:p>
      <w:pPr>
        <w:pStyle w:val="BodyText"/>
        <w:numPr>
          <w:ilvl w:val="0"/>
          <w:numId w:val="37"/>
        </w:numPr>
        <w:tabs>
          <w:tab w:val="clear" w:pos="1134"/>
          <w:tab w:val="left" w:pos="709" w:leader="none"/>
        </w:tabs>
        <w:bidi w:val="0"/>
        <w:spacing w:before="0" w:after="0"/>
        <w:ind w:hanging="283" w:left="709"/>
        <w:jc w:val="left"/>
        <w:rPr/>
      </w:pPr>
      <w:r>
        <w:rPr/>
        <w:t xml:space="preserve">an operating-profile fingerprint </w:t>
      </w:r>
    </w:p>
    <w:p>
      <w:pPr>
        <w:pStyle w:val="BodyText"/>
        <w:numPr>
          <w:ilvl w:val="0"/>
          <w:numId w:val="37"/>
        </w:numPr>
        <w:tabs>
          <w:tab w:val="clear" w:pos="1134"/>
          <w:tab w:val="left" w:pos="709" w:leader="none"/>
        </w:tabs>
        <w:bidi w:val="0"/>
        <w:spacing w:before="0" w:after="0"/>
        <w:ind w:hanging="283" w:left="709"/>
        <w:jc w:val="left"/>
        <w:rPr/>
      </w:pPr>
      <w:r>
        <w:rPr/>
        <w:t xml:space="preserve">a job-profile and qualification-scheme version </w:t>
      </w:r>
    </w:p>
    <w:p>
      <w:pPr>
        <w:pStyle w:val="BodyText"/>
        <w:numPr>
          <w:ilvl w:val="0"/>
          <w:numId w:val="37"/>
        </w:numPr>
        <w:tabs>
          <w:tab w:val="clear" w:pos="1134"/>
          <w:tab w:val="left" w:pos="709" w:leader="none"/>
        </w:tabs>
        <w:bidi w:val="0"/>
        <w:spacing w:before="0" w:after="0"/>
        <w:ind w:hanging="283" w:left="709"/>
        <w:jc w:val="left"/>
        <w:rPr/>
      </w:pPr>
      <w:r>
        <w:rPr/>
        <w:t xml:space="preserve">a declared scope </w:t>
      </w:r>
    </w:p>
    <w:p>
      <w:pPr>
        <w:pStyle w:val="BodyText"/>
        <w:numPr>
          <w:ilvl w:val="0"/>
          <w:numId w:val="37"/>
        </w:numPr>
        <w:tabs>
          <w:tab w:val="clear" w:pos="1134"/>
          <w:tab w:val="left" w:pos="709" w:leader="none"/>
        </w:tabs>
        <w:bidi w:val="0"/>
        <w:spacing w:before="0" w:after="0"/>
        <w:ind w:hanging="283" w:left="709"/>
        <w:jc w:val="left"/>
        <w:rPr/>
      </w:pPr>
      <w:r>
        <w:rPr/>
        <w:t xml:space="preserve">evidence and issuer references </w:t>
      </w:r>
    </w:p>
    <w:p>
      <w:pPr>
        <w:pStyle w:val="BodyText"/>
        <w:numPr>
          <w:ilvl w:val="0"/>
          <w:numId w:val="37"/>
        </w:numPr>
        <w:tabs>
          <w:tab w:val="clear" w:pos="1134"/>
          <w:tab w:val="left" w:pos="709" w:leader="none"/>
        </w:tabs>
        <w:bidi w:val="0"/>
        <w:spacing w:before="0" w:after="0"/>
        <w:ind w:hanging="283" w:left="709"/>
        <w:jc w:val="left"/>
        <w:rPr/>
      </w:pPr>
      <w:r>
        <w:rPr/>
        <w:t xml:space="preserve">a current status </w:t>
      </w:r>
    </w:p>
    <w:p>
      <w:pPr>
        <w:pStyle w:val="BodyText"/>
        <w:numPr>
          <w:ilvl w:val="0"/>
          <w:numId w:val="37"/>
        </w:numPr>
        <w:tabs>
          <w:tab w:val="clear" w:pos="1134"/>
          <w:tab w:val="left" w:pos="709" w:leader="none"/>
        </w:tabs>
        <w:bidi w:val="0"/>
        <w:ind w:hanging="283" w:left="709"/>
        <w:jc w:val="left"/>
        <w:rPr/>
      </w:pPr>
      <w:r>
        <w:rPr/>
        <w:t xml:space="preserve">a validity or review date </w:t>
      </w:r>
    </w:p>
    <w:p>
      <w:pPr>
        <w:pStyle w:val="Heading3"/>
        <w:bidi w:val="0"/>
        <w:jc w:val="left"/>
        <w:rPr/>
      </w:pPr>
      <w:r>
        <w:rPr/>
        <w:t>15.1 Qualification badge</w:t>
      </w:r>
    </w:p>
    <w:p>
      <w:pPr>
        <w:pStyle w:val="BodyText"/>
        <w:bidi w:val="0"/>
        <w:jc w:val="left"/>
        <w:rPr/>
      </w:pPr>
      <w:r>
        <w:rPr>
          <w:rStyle w:val="SourceText"/>
        </w:rPr>
        <w:t>GAID</w:t>
      </w:r>
      <w:r>
        <w:rPr/>
        <w:t xml:space="preserve"> implementations </w:t>
      </w:r>
      <w:r>
        <w:rPr>
          <w:rStyle w:val="SourceText"/>
        </w:rPr>
        <w:t>SHOULD</w:t>
      </w:r>
      <w:r>
        <w:rPr/>
        <w:t xml:space="preserve"> represent a JSI qualification as a structured </w:t>
      </w:r>
      <w:r>
        <w:rPr>
          <w:rStyle w:val="SourceText"/>
        </w:rPr>
        <w:t>job-qualification</w:t>
      </w:r>
      <w:r>
        <w:rPr/>
        <w:t xml:space="preserve"> badge or verifiable credential.</w:t>
      </w:r>
    </w:p>
    <w:p>
      <w:pPr>
        <w:pStyle w:val="BodyText"/>
        <w:bidi w:val="0"/>
        <w:jc w:val="left"/>
        <w:rPr/>
      </w:pPr>
      <w:r>
        <w:rPr/>
        <w:t xml:space="preserve">The badge </w:t>
      </w:r>
      <w:r>
        <w:rPr>
          <w:rStyle w:val="SourceText"/>
        </w:rPr>
        <w:t>MUST</w:t>
      </w:r>
      <w:r>
        <w:rPr/>
        <w:t xml:space="preserve"> distinguish:</w:t>
      </w:r>
    </w:p>
    <w:p>
      <w:pPr>
        <w:pStyle w:val="BodyText"/>
        <w:numPr>
          <w:ilvl w:val="0"/>
          <w:numId w:val="38"/>
        </w:numPr>
        <w:tabs>
          <w:tab w:val="clear" w:pos="1134"/>
          <w:tab w:val="left" w:pos="709" w:leader="none"/>
        </w:tabs>
        <w:bidi w:val="0"/>
        <w:spacing w:before="0" w:after="0"/>
        <w:ind w:hanging="283" w:left="709"/>
        <w:jc w:val="left"/>
        <w:rPr/>
      </w:pPr>
      <w:r>
        <w:rPr/>
        <w:t xml:space="preserve">the job/activity the subject is qualified for </w:t>
      </w:r>
    </w:p>
    <w:p>
      <w:pPr>
        <w:pStyle w:val="BodyText"/>
        <w:numPr>
          <w:ilvl w:val="0"/>
          <w:numId w:val="38"/>
        </w:numPr>
        <w:tabs>
          <w:tab w:val="clear" w:pos="1134"/>
          <w:tab w:val="left" w:pos="709" w:leader="none"/>
        </w:tabs>
        <w:bidi w:val="0"/>
        <w:spacing w:before="0" w:after="0"/>
        <w:ind w:hanging="283" w:left="709"/>
        <w:jc w:val="left"/>
        <w:rPr/>
      </w:pPr>
      <w:r>
        <w:rPr/>
        <w:t xml:space="preserve">the actions and data classes it is not qualified for </w:t>
      </w:r>
    </w:p>
    <w:p>
      <w:pPr>
        <w:pStyle w:val="BodyText"/>
        <w:numPr>
          <w:ilvl w:val="0"/>
          <w:numId w:val="38"/>
        </w:numPr>
        <w:tabs>
          <w:tab w:val="clear" w:pos="1134"/>
          <w:tab w:val="left" w:pos="709" w:leader="none"/>
        </w:tabs>
        <w:bidi w:val="0"/>
        <w:spacing w:before="0" w:after="0"/>
        <w:ind w:hanging="283" w:left="709"/>
        <w:jc w:val="left"/>
        <w:rPr/>
      </w:pPr>
      <w:r>
        <w:rPr/>
        <w:t xml:space="preserve">the strength of assurance </w:t>
      </w:r>
    </w:p>
    <w:p>
      <w:pPr>
        <w:pStyle w:val="BodyText"/>
        <w:numPr>
          <w:ilvl w:val="0"/>
          <w:numId w:val="38"/>
        </w:numPr>
        <w:tabs>
          <w:tab w:val="clear" w:pos="1134"/>
          <w:tab w:val="left" w:pos="709" w:leader="none"/>
        </w:tabs>
        <w:bidi w:val="0"/>
        <w:spacing w:before="0" w:after="0"/>
        <w:ind w:hanging="283" w:left="709"/>
        <w:jc w:val="left"/>
        <w:rPr/>
      </w:pPr>
      <w:r>
        <w:rPr/>
        <w:t xml:space="preserve">the maximum autonomy posture </w:t>
      </w:r>
    </w:p>
    <w:p>
      <w:pPr>
        <w:pStyle w:val="BodyText"/>
        <w:numPr>
          <w:ilvl w:val="0"/>
          <w:numId w:val="38"/>
        </w:numPr>
        <w:tabs>
          <w:tab w:val="clear" w:pos="1134"/>
          <w:tab w:val="left" w:pos="709" w:leader="none"/>
        </w:tabs>
        <w:bidi w:val="0"/>
        <w:spacing w:before="0" w:after="0"/>
        <w:ind w:hanging="283" w:left="709"/>
        <w:jc w:val="left"/>
        <w:rPr/>
      </w:pPr>
      <w:r>
        <w:rPr/>
        <w:t xml:space="preserve">current status and expiry </w:t>
      </w:r>
    </w:p>
    <w:p>
      <w:pPr>
        <w:pStyle w:val="BodyText"/>
        <w:numPr>
          <w:ilvl w:val="0"/>
          <w:numId w:val="38"/>
        </w:numPr>
        <w:tabs>
          <w:tab w:val="clear" w:pos="1134"/>
          <w:tab w:val="left" w:pos="709" w:leader="none"/>
        </w:tabs>
        <w:bidi w:val="0"/>
        <w:ind w:hanging="283" w:left="709"/>
        <w:jc w:val="left"/>
        <w:rPr/>
      </w:pPr>
      <w:r>
        <w:rPr/>
        <w:t xml:space="preserve">the profile version actually assessed </w:t>
      </w:r>
    </w:p>
    <w:p>
      <w:pPr>
        <w:pStyle w:val="BodyText"/>
        <w:bidi w:val="0"/>
        <w:jc w:val="left"/>
        <w:rPr/>
      </w:pPr>
      <w:r>
        <w:rPr/>
        <w:t>The visual badge alone is never the claim. The structured, verifiable payload is the claim.</w:t>
      </w:r>
    </w:p>
    <w:p>
      <w:pPr>
        <w:pStyle w:val="Heading3"/>
        <w:bidi w:val="0"/>
        <w:jc w:val="left"/>
        <w:rPr/>
      </w:pPr>
      <w:r>
        <w:rPr/>
        <w:t>15.2 Minimum verifier response</w:t>
      </w:r>
    </w:p>
    <w:p>
      <w:pPr>
        <w:pStyle w:val="BodyText"/>
        <w:bidi w:val="0"/>
        <w:jc w:val="left"/>
        <w:rPr/>
      </w:pPr>
      <w:r>
        <w:rPr/>
        <w:t xml:space="preserve">A verifier </w:t>
      </w:r>
      <w:r>
        <w:rPr>
          <w:rStyle w:val="SourceText"/>
        </w:rPr>
        <w:t>SHOULD</w:t>
      </w:r>
      <w:r>
        <w:rPr/>
        <w:t xml:space="preserve"> be able to answer:</w:t>
      </w:r>
    </w:p>
    <w:p>
      <w:pPr>
        <w:pStyle w:val="BodyText"/>
        <w:numPr>
          <w:ilvl w:val="0"/>
          <w:numId w:val="39"/>
        </w:numPr>
        <w:tabs>
          <w:tab w:val="clear" w:pos="1134"/>
          <w:tab w:val="left" w:pos="709" w:leader="none"/>
        </w:tabs>
        <w:bidi w:val="0"/>
        <w:spacing w:before="0" w:after="0"/>
        <w:ind w:hanging="283" w:left="709"/>
        <w:jc w:val="left"/>
        <w:rPr/>
      </w:pPr>
      <w:r>
        <w:rPr/>
        <w:t xml:space="preserve">Is the agent identity valid? </w:t>
      </w:r>
    </w:p>
    <w:p>
      <w:pPr>
        <w:pStyle w:val="BodyText"/>
        <w:numPr>
          <w:ilvl w:val="0"/>
          <w:numId w:val="39"/>
        </w:numPr>
        <w:tabs>
          <w:tab w:val="clear" w:pos="1134"/>
          <w:tab w:val="left" w:pos="709" w:leader="none"/>
        </w:tabs>
        <w:bidi w:val="0"/>
        <w:spacing w:before="0" w:after="0"/>
        <w:ind w:hanging="283" w:left="709"/>
        <w:jc w:val="left"/>
        <w:rPr/>
      </w:pPr>
      <w:r>
        <w:rPr/>
        <w:t xml:space="preserve">Is this the assessed operating profile? </w:t>
      </w:r>
    </w:p>
    <w:p>
      <w:pPr>
        <w:pStyle w:val="BodyText"/>
        <w:numPr>
          <w:ilvl w:val="0"/>
          <w:numId w:val="39"/>
        </w:numPr>
        <w:tabs>
          <w:tab w:val="clear" w:pos="1134"/>
          <w:tab w:val="left" w:pos="709" w:leader="none"/>
        </w:tabs>
        <w:bidi w:val="0"/>
        <w:spacing w:before="0" w:after="0"/>
        <w:ind w:hanging="283" w:left="709"/>
        <w:jc w:val="left"/>
        <w:rPr/>
      </w:pPr>
      <w:r>
        <w:rPr/>
        <w:t xml:space="preserve">Is the qualification active? </w:t>
      </w:r>
    </w:p>
    <w:p>
      <w:pPr>
        <w:pStyle w:val="BodyText"/>
        <w:numPr>
          <w:ilvl w:val="0"/>
          <w:numId w:val="39"/>
        </w:numPr>
        <w:tabs>
          <w:tab w:val="clear" w:pos="1134"/>
          <w:tab w:val="left" w:pos="709" w:leader="none"/>
        </w:tabs>
        <w:bidi w:val="0"/>
        <w:spacing w:before="0" w:after="0"/>
        <w:ind w:hanging="283" w:left="709"/>
        <w:jc w:val="left"/>
        <w:rPr/>
      </w:pPr>
      <w:r>
        <w:rPr/>
        <w:t xml:space="preserve">Does it cover this job/activity, data class, jurisdiction, and risk? </w:t>
      </w:r>
    </w:p>
    <w:p>
      <w:pPr>
        <w:pStyle w:val="BodyText"/>
        <w:numPr>
          <w:ilvl w:val="0"/>
          <w:numId w:val="39"/>
        </w:numPr>
        <w:tabs>
          <w:tab w:val="clear" w:pos="1134"/>
          <w:tab w:val="left" w:pos="709" w:leader="none"/>
        </w:tabs>
        <w:bidi w:val="0"/>
        <w:spacing w:before="0" w:after="0"/>
        <w:ind w:hanging="283" w:left="709"/>
        <w:jc w:val="left"/>
        <w:rPr/>
      </w:pPr>
      <w:r>
        <w:rPr/>
        <w:t xml:space="preserve">What autonomy ceiling applies? </w:t>
      </w:r>
    </w:p>
    <w:p>
      <w:pPr>
        <w:pStyle w:val="BodyText"/>
        <w:numPr>
          <w:ilvl w:val="0"/>
          <w:numId w:val="39"/>
        </w:numPr>
        <w:tabs>
          <w:tab w:val="clear" w:pos="1134"/>
          <w:tab w:val="left" w:pos="709" w:leader="none"/>
        </w:tabs>
        <w:bidi w:val="0"/>
        <w:spacing w:before="0" w:after="0"/>
        <w:ind w:hanging="283" w:left="709"/>
        <w:jc w:val="left"/>
        <w:rPr/>
      </w:pPr>
      <w:r>
        <w:rPr/>
        <w:t xml:space="preserve">What changed since assessment? </w:t>
      </w:r>
    </w:p>
    <w:p>
      <w:pPr>
        <w:pStyle w:val="BodyText"/>
        <w:numPr>
          <w:ilvl w:val="0"/>
          <w:numId w:val="39"/>
        </w:numPr>
        <w:tabs>
          <w:tab w:val="clear" w:pos="1134"/>
          <w:tab w:val="left" w:pos="709" w:leader="none"/>
        </w:tabs>
        <w:bidi w:val="0"/>
        <w:ind w:hanging="283" w:left="709"/>
        <w:jc w:val="left"/>
        <w:rPr/>
      </w:pPr>
      <w:r>
        <w:rPr/>
        <w:t xml:space="preserve">Where is the supporting evidence? </w:t>
      </w:r>
    </w:p>
    <w:p>
      <w:pPr>
        <w:pStyle w:val="Heading2"/>
        <w:bidi w:val="0"/>
        <w:jc w:val="left"/>
        <w:rPr/>
      </w:pPr>
      <w:r>
        <w:rPr/>
        <w:t>16. Security, Privacy, and Misuse Considerations</w:t>
      </w:r>
    </w:p>
    <w:p>
      <w:pPr>
        <w:pStyle w:val="BodyText"/>
        <w:bidi w:val="0"/>
        <w:jc w:val="left"/>
        <w:rPr/>
      </w:pPr>
      <w:r>
        <w:rPr/>
        <w:t>Threats include:</w:t>
      </w:r>
    </w:p>
    <w:p>
      <w:pPr>
        <w:pStyle w:val="BodyText"/>
        <w:numPr>
          <w:ilvl w:val="0"/>
          <w:numId w:val="40"/>
        </w:numPr>
        <w:tabs>
          <w:tab w:val="clear" w:pos="1134"/>
          <w:tab w:val="left" w:pos="709" w:leader="none"/>
        </w:tabs>
        <w:bidi w:val="0"/>
        <w:spacing w:before="0" w:after="0"/>
        <w:ind w:hanging="283" w:left="709"/>
        <w:jc w:val="left"/>
        <w:rPr/>
      </w:pPr>
      <w:r>
        <w:rPr/>
        <w:t xml:space="preserve">capability inflation through vague badges </w:t>
      </w:r>
    </w:p>
    <w:p>
      <w:pPr>
        <w:pStyle w:val="BodyText"/>
        <w:numPr>
          <w:ilvl w:val="0"/>
          <w:numId w:val="40"/>
        </w:numPr>
        <w:tabs>
          <w:tab w:val="clear" w:pos="1134"/>
          <w:tab w:val="left" w:pos="709" w:leader="none"/>
        </w:tabs>
        <w:bidi w:val="0"/>
        <w:spacing w:before="0" w:after="0"/>
        <w:ind w:hanging="283" w:left="709"/>
        <w:jc w:val="left"/>
        <w:rPr/>
      </w:pPr>
      <w:r>
        <w:rPr/>
        <w:t xml:space="preserve">benchmark overfitting and evaluation leakage </w:t>
      </w:r>
    </w:p>
    <w:p>
      <w:pPr>
        <w:pStyle w:val="BodyText"/>
        <w:numPr>
          <w:ilvl w:val="0"/>
          <w:numId w:val="40"/>
        </w:numPr>
        <w:tabs>
          <w:tab w:val="clear" w:pos="1134"/>
          <w:tab w:val="left" w:pos="709" w:leader="none"/>
        </w:tabs>
        <w:bidi w:val="0"/>
        <w:spacing w:before="0" w:after="0"/>
        <w:ind w:hanging="283" w:left="709"/>
        <w:jc w:val="left"/>
        <w:rPr/>
      </w:pPr>
      <w:r>
        <w:rPr/>
        <w:t xml:space="preserve">cherry-picked seeds, cohorts, or retries that overstate performance </w:t>
      </w:r>
    </w:p>
    <w:p>
      <w:pPr>
        <w:pStyle w:val="BodyText"/>
        <w:numPr>
          <w:ilvl w:val="0"/>
          <w:numId w:val="40"/>
        </w:numPr>
        <w:tabs>
          <w:tab w:val="clear" w:pos="1134"/>
          <w:tab w:val="left" w:pos="709" w:leader="none"/>
        </w:tabs>
        <w:bidi w:val="0"/>
        <w:spacing w:before="0" w:after="0"/>
        <w:ind w:hanging="283" w:left="709"/>
        <w:jc w:val="left"/>
        <w:rPr/>
      </w:pPr>
      <w:r>
        <w:rPr/>
        <w:t xml:space="preserve">repeated evaluator probing that reconstructs held-out labels or acceptance boundaries </w:t>
      </w:r>
    </w:p>
    <w:p>
      <w:pPr>
        <w:pStyle w:val="BodyText"/>
        <w:numPr>
          <w:ilvl w:val="0"/>
          <w:numId w:val="40"/>
        </w:numPr>
        <w:tabs>
          <w:tab w:val="clear" w:pos="1134"/>
          <w:tab w:val="left" w:pos="709" w:leader="none"/>
        </w:tabs>
        <w:bidi w:val="0"/>
        <w:spacing w:before="0" w:after="0"/>
        <w:ind w:hanging="283" w:left="709"/>
        <w:jc w:val="left"/>
        <w:rPr/>
      </w:pPr>
      <w:r>
        <w:rPr/>
        <w:t xml:space="preserve">apparent safety gains caused by destroying required job capability </w:t>
      </w:r>
    </w:p>
    <w:p>
      <w:pPr>
        <w:pStyle w:val="BodyText"/>
        <w:numPr>
          <w:ilvl w:val="0"/>
          <w:numId w:val="40"/>
        </w:numPr>
        <w:tabs>
          <w:tab w:val="clear" w:pos="1134"/>
          <w:tab w:val="left" w:pos="709" w:leader="none"/>
        </w:tabs>
        <w:bidi w:val="0"/>
        <w:spacing w:before="0" w:after="0"/>
        <w:ind w:hanging="283" w:left="709"/>
        <w:jc w:val="left"/>
        <w:rPr/>
      </w:pPr>
      <w:r>
        <w:rPr/>
        <w:t xml:space="preserve">negative transfer when a method qualified on one operating profile is reused on another </w:t>
      </w:r>
    </w:p>
    <w:p>
      <w:pPr>
        <w:pStyle w:val="BodyText"/>
        <w:numPr>
          <w:ilvl w:val="0"/>
          <w:numId w:val="40"/>
        </w:numPr>
        <w:tabs>
          <w:tab w:val="clear" w:pos="1134"/>
          <w:tab w:val="left" w:pos="709" w:leader="none"/>
        </w:tabs>
        <w:bidi w:val="0"/>
        <w:spacing w:before="0" w:after="0"/>
        <w:ind w:hanging="283" w:left="709"/>
        <w:jc w:val="left"/>
        <w:rPr/>
      </w:pPr>
      <w:r>
        <w:rPr/>
        <w:t xml:space="preserve">swapping the assessed model, prompt, tools, or data after qualification </w:t>
      </w:r>
    </w:p>
    <w:p>
      <w:pPr>
        <w:pStyle w:val="BodyText"/>
        <w:numPr>
          <w:ilvl w:val="0"/>
          <w:numId w:val="40"/>
        </w:numPr>
        <w:tabs>
          <w:tab w:val="clear" w:pos="1134"/>
          <w:tab w:val="left" w:pos="709" w:leader="none"/>
        </w:tabs>
        <w:bidi w:val="0"/>
        <w:spacing w:before="0" w:after="0"/>
        <w:ind w:hanging="283" w:left="709"/>
        <w:jc w:val="left"/>
        <w:rPr/>
      </w:pPr>
      <w:r>
        <w:rPr/>
        <w:t xml:space="preserve">using a low-risk job qualification to justify high-risk work </w:t>
      </w:r>
    </w:p>
    <w:p>
      <w:pPr>
        <w:pStyle w:val="BodyText"/>
        <w:numPr>
          <w:ilvl w:val="0"/>
          <w:numId w:val="40"/>
        </w:numPr>
        <w:tabs>
          <w:tab w:val="clear" w:pos="1134"/>
          <w:tab w:val="left" w:pos="709" w:leader="none"/>
        </w:tabs>
        <w:bidi w:val="0"/>
        <w:spacing w:before="0" w:after="0"/>
        <w:ind w:hanging="283" w:left="709"/>
        <w:jc w:val="left"/>
        <w:rPr/>
      </w:pPr>
      <w:r>
        <w:rPr/>
        <w:t xml:space="preserve">routing sensitive work through an unassessed provider </w:t>
      </w:r>
    </w:p>
    <w:p>
      <w:pPr>
        <w:pStyle w:val="BodyText"/>
        <w:numPr>
          <w:ilvl w:val="0"/>
          <w:numId w:val="40"/>
        </w:numPr>
        <w:tabs>
          <w:tab w:val="clear" w:pos="1134"/>
          <w:tab w:val="left" w:pos="709" w:leader="none"/>
        </w:tabs>
        <w:bidi w:val="0"/>
        <w:spacing w:before="0" w:after="0"/>
        <w:ind w:hanging="283" w:left="709"/>
        <w:jc w:val="left"/>
        <w:rPr/>
      </w:pPr>
      <w:r>
        <w:rPr/>
        <w:t xml:space="preserve">stale profession or organizational knowledge </w:t>
      </w:r>
    </w:p>
    <w:p>
      <w:pPr>
        <w:pStyle w:val="BodyText"/>
        <w:numPr>
          <w:ilvl w:val="0"/>
          <w:numId w:val="40"/>
        </w:numPr>
        <w:tabs>
          <w:tab w:val="clear" w:pos="1134"/>
          <w:tab w:val="left" w:pos="709" w:leader="none"/>
        </w:tabs>
        <w:bidi w:val="0"/>
        <w:spacing w:before="0" w:after="0"/>
        <w:ind w:hanging="283" w:left="709"/>
        <w:jc w:val="left"/>
        <w:rPr/>
      </w:pPr>
      <w:r>
        <w:rPr/>
        <w:t xml:space="preserve">poisoned evaluation or operational evidence </w:t>
      </w:r>
    </w:p>
    <w:p>
      <w:pPr>
        <w:pStyle w:val="BodyText"/>
        <w:numPr>
          <w:ilvl w:val="0"/>
          <w:numId w:val="40"/>
        </w:numPr>
        <w:tabs>
          <w:tab w:val="clear" w:pos="1134"/>
          <w:tab w:val="left" w:pos="709" w:leader="none"/>
        </w:tabs>
        <w:bidi w:val="0"/>
        <w:spacing w:before="0" w:after="0"/>
        <w:ind w:hanging="283" w:left="709"/>
        <w:jc w:val="left"/>
        <w:rPr/>
      </w:pPr>
      <w:r>
        <w:rPr/>
        <w:t xml:space="preserve">self-issued claims presented as independent assurance </w:t>
      </w:r>
    </w:p>
    <w:p>
      <w:pPr>
        <w:pStyle w:val="BodyText"/>
        <w:numPr>
          <w:ilvl w:val="0"/>
          <w:numId w:val="40"/>
        </w:numPr>
        <w:tabs>
          <w:tab w:val="clear" w:pos="1134"/>
          <w:tab w:val="left" w:pos="709" w:leader="none"/>
        </w:tabs>
        <w:bidi w:val="0"/>
        <w:spacing w:before="0" w:after="0"/>
        <w:ind w:hanging="283" w:left="709"/>
        <w:jc w:val="left"/>
        <w:rPr/>
      </w:pPr>
      <w:r>
        <w:rPr/>
        <w:t xml:space="preserve">hiding failure data while advertising aggregate success </w:t>
      </w:r>
    </w:p>
    <w:p>
      <w:pPr>
        <w:pStyle w:val="BodyText"/>
        <w:numPr>
          <w:ilvl w:val="0"/>
          <w:numId w:val="40"/>
        </w:numPr>
        <w:tabs>
          <w:tab w:val="clear" w:pos="1134"/>
          <w:tab w:val="left" w:pos="709" w:leader="none"/>
        </w:tabs>
        <w:bidi w:val="0"/>
        <w:ind w:hanging="283" w:left="709"/>
        <w:jc w:val="left"/>
        <w:rPr/>
      </w:pPr>
      <w:r>
        <w:rPr/>
        <w:t xml:space="preserve">qualification lock-in to a proprietary benchmark or vendor label </w:t>
      </w:r>
    </w:p>
    <w:p>
      <w:pPr>
        <w:pStyle w:val="BodyText"/>
        <w:bidi w:val="0"/>
        <w:jc w:val="left"/>
        <w:rPr/>
      </w:pPr>
      <w:r>
        <w:rPr/>
        <w:t xml:space="preserve">Mitigations </w:t>
      </w:r>
      <w:r>
        <w:rPr>
          <w:rStyle w:val="SourceText"/>
        </w:rPr>
        <w:t>SHOULD</w:t>
      </w:r>
      <w:r>
        <w:rPr/>
        <w:t xml:space="preserve"> include:</w:t>
      </w:r>
    </w:p>
    <w:p>
      <w:pPr>
        <w:pStyle w:val="BodyText"/>
        <w:numPr>
          <w:ilvl w:val="0"/>
          <w:numId w:val="41"/>
        </w:numPr>
        <w:tabs>
          <w:tab w:val="clear" w:pos="1134"/>
          <w:tab w:val="left" w:pos="709" w:leader="none"/>
        </w:tabs>
        <w:bidi w:val="0"/>
        <w:spacing w:before="0" w:after="0"/>
        <w:ind w:hanging="283" w:left="709"/>
        <w:jc w:val="left"/>
        <w:rPr/>
      </w:pPr>
      <w:r>
        <w:rPr/>
        <w:t xml:space="preserve">precise scope and exclusions </w:t>
      </w:r>
    </w:p>
    <w:p>
      <w:pPr>
        <w:pStyle w:val="BodyText"/>
        <w:numPr>
          <w:ilvl w:val="0"/>
          <w:numId w:val="41"/>
        </w:numPr>
        <w:tabs>
          <w:tab w:val="clear" w:pos="1134"/>
          <w:tab w:val="left" w:pos="709" w:leader="none"/>
        </w:tabs>
        <w:bidi w:val="0"/>
        <w:spacing w:before="0" w:after="0"/>
        <w:ind w:hanging="283" w:left="709"/>
        <w:jc w:val="left"/>
        <w:rPr/>
      </w:pPr>
      <w:r>
        <w:rPr/>
        <w:t xml:space="preserve">immutable profile fingerprints </w:t>
      </w:r>
    </w:p>
    <w:p>
      <w:pPr>
        <w:pStyle w:val="BodyText"/>
        <w:numPr>
          <w:ilvl w:val="0"/>
          <w:numId w:val="41"/>
        </w:numPr>
        <w:tabs>
          <w:tab w:val="clear" w:pos="1134"/>
          <w:tab w:val="left" w:pos="709" w:leader="none"/>
        </w:tabs>
        <w:bidi w:val="0"/>
        <w:spacing w:before="0" w:after="0"/>
        <w:ind w:hanging="283" w:left="709"/>
        <w:jc w:val="left"/>
        <w:rPr/>
      </w:pPr>
      <w:r>
        <w:rPr/>
        <w:t xml:space="preserve">protected evidence and transparent methodology </w:t>
      </w:r>
    </w:p>
    <w:p>
      <w:pPr>
        <w:pStyle w:val="BodyText"/>
        <w:numPr>
          <w:ilvl w:val="0"/>
          <w:numId w:val="41"/>
        </w:numPr>
        <w:tabs>
          <w:tab w:val="clear" w:pos="1134"/>
          <w:tab w:val="left" w:pos="709" w:leader="none"/>
        </w:tabs>
        <w:bidi w:val="0"/>
        <w:spacing w:before="0" w:after="0"/>
        <w:ind w:hanging="283" w:left="709"/>
        <w:jc w:val="left"/>
        <w:rPr/>
      </w:pPr>
      <w:r>
        <w:rPr/>
        <w:t xml:space="preserve">write-isolated held-out material and attributable evaluator submissions </w:t>
      </w:r>
    </w:p>
    <w:p>
      <w:pPr>
        <w:pStyle w:val="BodyText"/>
        <w:numPr>
          <w:ilvl w:val="0"/>
          <w:numId w:val="41"/>
        </w:numPr>
        <w:tabs>
          <w:tab w:val="clear" w:pos="1134"/>
          <w:tab w:val="left" w:pos="709" w:leader="none"/>
        </w:tabs>
        <w:bidi w:val="0"/>
        <w:spacing w:before="0" w:after="0"/>
        <w:ind w:hanging="283" w:left="709"/>
        <w:jc w:val="left"/>
        <w:rPr/>
      </w:pPr>
      <w:r>
        <w:rPr/>
        <w:t xml:space="preserve">precommitted endpoints, seed/retry policy, budgets, capability floors, and invalidation rules </w:t>
      </w:r>
    </w:p>
    <w:p>
      <w:pPr>
        <w:pStyle w:val="BodyText"/>
        <w:numPr>
          <w:ilvl w:val="0"/>
          <w:numId w:val="41"/>
        </w:numPr>
        <w:tabs>
          <w:tab w:val="clear" w:pos="1134"/>
          <w:tab w:val="left" w:pos="709" w:leader="none"/>
        </w:tabs>
        <w:bidi w:val="0"/>
        <w:spacing w:before="0" w:after="0"/>
        <w:ind w:hanging="283" w:left="709"/>
        <w:jc w:val="left"/>
        <w:rPr/>
      </w:pPr>
      <w:r>
        <w:rPr/>
        <w:t xml:space="preserve">direct target-profile assessment or governed equivalence before transfer </w:t>
      </w:r>
    </w:p>
    <w:p>
      <w:pPr>
        <w:pStyle w:val="BodyText"/>
        <w:numPr>
          <w:ilvl w:val="0"/>
          <w:numId w:val="41"/>
        </w:numPr>
        <w:tabs>
          <w:tab w:val="clear" w:pos="1134"/>
          <w:tab w:val="left" w:pos="709" w:leader="none"/>
        </w:tabs>
        <w:bidi w:val="0"/>
        <w:spacing w:before="0" w:after="0"/>
        <w:ind w:hanging="283" w:left="709"/>
        <w:jc w:val="left"/>
        <w:rPr/>
      </w:pPr>
      <w:r>
        <w:rPr/>
        <w:t xml:space="preserve">independent assessment where risk warrants it </w:t>
      </w:r>
    </w:p>
    <w:p>
      <w:pPr>
        <w:pStyle w:val="BodyText"/>
        <w:numPr>
          <w:ilvl w:val="0"/>
          <w:numId w:val="41"/>
        </w:numPr>
        <w:tabs>
          <w:tab w:val="clear" w:pos="1134"/>
          <w:tab w:val="left" w:pos="709" w:leader="none"/>
        </w:tabs>
        <w:bidi w:val="0"/>
        <w:spacing w:before="0" w:after="0"/>
        <w:ind w:hanging="283" w:left="709"/>
        <w:jc w:val="left"/>
        <w:rPr/>
      </w:pPr>
      <w:r>
        <w:rPr/>
        <w:t xml:space="preserve">critical-failure gates </w:t>
      </w:r>
    </w:p>
    <w:p>
      <w:pPr>
        <w:pStyle w:val="BodyText"/>
        <w:numPr>
          <w:ilvl w:val="0"/>
          <w:numId w:val="41"/>
        </w:numPr>
        <w:tabs>
          <w:tab w:val="clear" w:pos="1134"/>
          <w:tab w:val="left" w:pos="709" w:leader="none"/>
        </w:tabs>
        <w:bidi w:val="0"/>
        <w:spacing w:before="0" w:after="0"/>
        <w:ind w:hanging="283" w:left="709"/>
        <w:jc w:val="left"/>
        <w:rPr/>
      </w:pPr>
      <w:r>
        <w:rPr/>
        <w:t xml:space="preserve">change-triggered revalidation </w:t>
      </w:r>
    </w:p>
    <w:p>
      <w:pPr>
        <w:pStyle w:val="BodyText"/>
        <w:numPr>
          <w:ilvl w:val="0"/>
          <w:numId w:val="41"/>
        </w:numPr>
        <w:tabs>
          <w:tab w:val="clear" w:pos="1134"/>
          <w:tab w:val="left" w:pos="709" w:leader="none"/>
        </w:tabs>
        <w:bidi w:val="0"/>
        <w:spacing w:before="0" w:after="0"/>
        <w:ind w:hanging="283" w:left="709"/>
        <w:jc w:val="left"/>
        <w:rPr/>
      </w:pPr>
      <w:r>
        <w:rPr/>
        <w:t xml:space="preserve">status and revocation checking </w:t>
      </w:r>
    </w:p>
    <w:p>
      <w:pPr>
        <w:pStyle w:val="BodyText"/>
        <w:numPr>
          <w:ilvl w:val="0"/>
          <w:numId w:val="41"/>
        </w:numPr>
        <w:tabs>
          <w:tab w:val="clear" w:pos="1134"/>
          <w:tab w:val="left" w:pos="709" w:leader="none"/>
        </w:tabs>
        <w:bidi w:val="0"/>
        <w:spacing w:before="0" w:after="0"/>
        <w:ind w:hanging="283" w:left="709"/>
        <w:jc w:val="left"/>
        <w:rPr/>
      </w:pPr>
      <w:r>
        <w:rPr/>
        <w:t xml:space="preserve">data minimization </w:t>
      </w:r>
    </w:p>
    <w:p>
      <w:pPr>
        <w:pStyle w:val="BodyText"/>
        <w:numPr>
          <w:ilvl w:val="0"/>
          <w:numId w:val="41"/>
        </w:numPr>
        <w:tabs>
          <w:tab w:val="clear" w:pos="1134"/>
          <w:tab w:val="left" w:pos="709" w:leader="none"/>
        </w:tabs>
        <w:bidi w:val="0"/>
        <w:ind w:hanging="283" w:left="709"/>
        <w:jc w:val="left"/>
        <w:rPr/>
      </w:pPr>
      <w:r>
        <w:rPr/>
        <w:t xml:space="preserve">separation of scheme owner, assessor, operator, and subject where practical </w:t>
      </w:r>
    </w:p>
    <w:p>
      <w:pPr>
        <w:pStyle w:val="Heading2"/>
        <w:bidi w:val="0"/>
        <w:jc w:val="left"/>
        <w:rPr/>
      </w:pPr>
      <w:r>
        <w:rPr/>
        <w:t>17. Conformance Profiles</w:t>
      </w:r>
    </w:p>
    <w:p>
      <w:pPr>
        <w:pStyle w:val="Heading3"/>
        <w:bidi w:val="0"/>
        <w:jc w:val="left"/>
        <w:rPr/>
      </w:pPr>
      <w:r>
        <w:rPr/>
        <w:t>17.1 TAK-JSI-Defined</w:t>
      </w:r>
    </w:p>
    <w:p>
      <w:pPr>
        <w:pStyle w:val="BodyText"/>
        <w:bidi w:val="0"/>
        <w:jc w:val="left"/>
        <w:rPr/>
      </w:pPr>
      <w:r>
        <w:rPr/>
        <w:t>Requires:</w:t>
      </w:r>
    </w:p>
    <w:p>
      <w:pPr>
        <w:pStyle w:val="BodyText"/>
        <w:numPr>
          <w:ilvl w:val="0"/>
          <w:numId w:val="42"/>
        </w:numPr>
        <w:tabs>
          <w:tab w:val="clear" w:pos="1134"/>
          <w:tab w:val="left" w:pos="709" w:leader="none"/>
        </w:tabs>
        <w:bidi w:val="0"/>
        <w:spacing w:before="0" w:after="0"/>
        <w:ind w:hanging="283" w:left="709"/>
        <w:jc w:val="left"/>
        <w:rPr/>
      </w:pPr>
      <w:r>
        <w:rPr/>
        <w:t xml:space="preserve">versioned job profile </w:t>
      </w:r>
    </w:p>
    <w:p>
      <w:pPr>
        <w:pStyle w:val="BodyText"/>
        <w:numPr>
          <w:ilvl w:val="0"/>
          <w:numId w:val="42"/>
        </w:numPr>
        <w:tabs>
          <w:tab w:val="clear" w:pos="1134"/>
          <w:tab w:val="left" w:pos="709" w:leader="none"/>
        </w:tabs>
        <w:bidi w:val="0"/>
        <w:spacing w:before="0" w:after="0"/>
        <w:ind w:hanging="283" w:left="709"/>
        <w:jc w:val="left"/>
        <w:rPr/>
      </w:pPr>
      <w:r>
        <w:rPr/>
        <w:t xml:space="preserve">versioned qualification scheme </w:t>
      </w:r>
    </w:p>
    <w:p>
      <w:pPr>
        <w:pStyle w:val="BodyText"/>
        <w:numPr>
          <w:ilvl w:val="0"/>
          <w:numId w:val="42"/>
        </w:numPr>
        <w:tabs>
          <w:tab w:val="clear" w:pos="1134"/>
          <w:tab w:val="left" w:pos="709" w:leader="none"/>
        </w:tabs>
        <w:bidi w:val="0"/>
        <w:spacing w:before="0" w:after="0"/>
        <w:ind w:hanging="283" w:left="709"/>
        <w:jc w:val="left"/>
        <w:rPr/>
      </w:pPr>
      <w:r>
        <w:rPr/>
        <w:t xml:space="preserve">declared data, tool, model/provider, authority, and oversight constraints </w:t>
      </w:r>
    </w:p>
    <w:p>
      <w:pPr>
        <w:pStyle w:val="BodyText"/>
        <w:numPr>
          <w:ilvl w:val="0"/>
          <w:numId w:val="42"/>
        </w:numPr>
        <w:tabs>
          <w:tab w:val="clear" w:pos="1134"/>
          <w:tab w:val="left" w:pos="709" w:leader="none"/>
        </w:tabs>
        <w:bidi w:val="0"/>
        <w:spacing w:before="0" w:after="0"/>
        <w:ind w:hanging="283" w:left="709"/>
        <w:jc w:val="left"/>
        <w:rPr/>
      </w:pPr>
      <w:r>
        <w:rPr/>
        <w:t xml:space="preserve">assessment plan and acceptance criteria </w:t>
      </w:r>
    </w:p>
    <w:p>
      <w:pPr>
        <w:pStyle w:val="BodyText"/>
        <w:numPr>
          <w:ilvl w:val="0"/>
          <w:numId w:val="42"/>
        </w:numPr>
        <w:tabs>
          <w:tab w:val="clear" w:pos="1134"/>
          <w:tab w:val="left" w:pos="709" w:leader="none"/>
        </w:tabs>
        <w:bidi w:val="0"/>
        <w:ind w:hanging="283" w:left="709"/>
        <w:jc w:val="left"/>
        <w:rPr/>
      </w:pPr>
      <w:r>
        <w:rPr/>
        <w:t xml:space="preserve">material-change and revalidation policy </w:t>
      </w:r>
    </w:p>
    <w:p>
      <w:pPr>
        <w:pStyle w:val="BodyText"/>
        <w:bidi w:val="0"/>
        <w:jc w:val="left"/>
        <w:rPr/>
      </w:pPr>
      <w:r>
        <w:rPr/>
        <w:t xml:space="preserve">It </w:t>
      </w:r>
      <w:r>
        <w:rPr>
          <w:rStyle w:val="SourceText"/>
        </w:rPr>
        <w:t>MUST NOT</w:t>
      </w:r>
      <w:r>
        <w:rPr/>
        <w:t xml:space="preserve"> imply demonstrated performance.</w:t>
      </w:r>
    </w:p>
    <w:p>
      <w:pPr>
        <w:pStyle w:val="Heading3"/>
        <w:bidi w:val="0"/>
        <w:jc w:val="left"/>
        <w:rPr/>
      </w:pPr>
      <w:r>
        <w:rPr/>
        <w:t>17.2 TAK-JSI-Assessed</w:t>
      </w:r>
    </w:p>
    <w:p>
      <w:pPr>
        <w:pStyle w:val="BodyText"/>
        <w:bidi w:val="0"/>
        <w:jc w:val="left"/>
        <w:rPr/>
      </w:pPr>
      <w:r>
        <w:rPr/>
        <w:t xml:space="preserve">Requires everything in </w:t>
      </w:r>
      <w:r>
        <w:rPr>
          <w:rStyle w:val="SourceText"/>
        </w:rPr>
        <w:t>TAK-JSI-Defined</w:t>
      </w:r>
      <w:r>
        <w:rPr/>
        <w:t>, plus:</w:t>
      </w:r>
    </w:p>
    <w:p>
      <w:pPr>
        <w:pStyle w:val="BodyText"/>
        <w:numPr>
          <w:ilvl w:val="0"/>
          <w:numId w:val="43"/>
        </w:numPr>
        <w:tabs>
          <w:tab w:val="clear" w:pos="1134"/>
          <w:tab w:val="left" w:pos="709" w:leader="none"/>
        </w:tabs>
        <w:bidi w:val="0"/>
        <w:spacing w:before="0" w:after="0"/>
        <w:ind w:hanging="283" w:left="709"/>
        <w:jc w:val="left"/>
        <w:rPr/>
      </w:pPr>
      <w:r>
        <w:rPr/>
        <w:t xml:space="preserve">qualification subject bound to a </w:t>
      </w:r>
      <w:r>
        <w:rPr>
          <w:rStyle w:val="SourceText"/>
        </w:rPr>
        <w:t>GAID</w:t>
      </w:r>
      <w:r>
        <w:rPr/>
        <w:t xml:space="preserve"> and operating-profile fingerprint </w:t>
      </w:r>
    </w:p>
    <w:p>
      <w:pPr>
        <w:pStyle w:val="BodyText"/>
        <w:numPr>
          <w:ilvl w:val="0"/>
          <w:numId w:val="43"/>
        </w:numPr>
        <w:tabs>
          <w:tab w:val="clear" w:pos="1134"/>
          <w:tab w:val="left" w:pos="709" w:leader="none"/>
        </w:tabs>
        <w:bidi w:val="0"/>
        <w:spacing w:before="0" w:after="0"/>
        <w:ind w:hanging="283" w:left="709"/>
        <w:jc w:val="left"/>
        <w:rPr/>
      </w:pPr>
      <w:r>
        <w:rPr/>
        <w:t xml:space="preserve">representative assessment execution </w:t>
      </w:r>
    </w:p>
    <w:p>
      <w:pPr>
        <w:pStyle w:val="BodyText"/>
        <w:numPr>
          <w:ilvl w:val="0"/>
          <w:numId w:val="43"/>
        </w:numPr>
        <w:tabs>
          <w:tab w:val="clear" w:pos="1134"/>
          <w:tab w:val="left" w:pos="709" w:leader="none"/>
        </w:tabs>
        <w:bidi w:val="0"/>
        <w:spacing w:before="0" w:after="0"/>
        <w:ind w:hanging="283" w:left="709"/>
        <w:jc w:val="left"/>
        <w:rPr/>
      </w:pPr>
      <w:r>
        <w:rPr/>
        <w:t xml:space="preserve">retained evidence and result </w:t>
      </w:r>
    </w:p>
    <w:p>
      <w:pPr>
        <w:pStyle w:val="BodyText"/>
        <w:numPr>
          <w:ilvl w:val="0"/>
          <w:numId w:val="43"/>
        </w:numPr>
        <w:tabs>
          <w:tab w:val="clear" w:pos="1134"/>
          <w:tab w:val="left" w:pos="709" w:leader="none"/>
        </w:tabs>
        <w:bidi w:val="0"/>
        <w:spacing w:before="0" w:after="0"/>
        <w:ind w:hanging="283" w:left="709"/>
        <w:jc w:val="left"/>
        <w:rPr/>
      </w:pPr>
      <w:r>
        <w:rPr/>
        <w:t xml:space="preserve">per-criterion results reported individually, not only in aggregate (§11.4.1) </w:t>
      </w:r>
    </w:p>
    <w:p>
      <w:pPr>
        <w:pStyle w:val="BodyText"/>
        <w:numPr>
          <w:ilvl w:val="0"/>
          <w:numId w:val="43"/>
        </w:numPr>
        <w:tabs>
          <w:tab w:val="clear" w:pos="1134"/>
          <w:tab w:val="left" w:pos="709" w:leader="none"/>
        </w:tabs>
        <w:bidi w:val="0"/>
        <w:spacing w:before="0" w:after="0"/>
        <w:ind w:hanging="283" w:left="709"/>
        <w:jc w:val="left"/>
        <w:rPr/>
      </w:pPr>
      <w:r>
        <w:rPr/>
        <w:t xml:space="preserve">criterion evidence derived from the governed execution record (§11.4.2) </w:t>
      </w:r>
    </w:p>
    <w:p>
      <w:pPr>
        <w:pStyle w:val="BodyText"/>
        <w:numPr>
          <w:ilvl w:val="0"/>
          <w:numId w:val="43"/>
        </w:numPr>
        <w:tabs>
          <w:tab w:val="clear" w:pos="1134"/>
          <w:tab w:val="left" w:pos="709" w:leader="none"/>
        </w:tabs>
        <w:bidi w:val="0"/>
        <w:spacing w:before="0" w:after="0"/>
        <w:ind w:hanging="283" w:left="709"/>
        <w:jc w:val="left"/>
        <w:rPr/>
      </w:pPr>
      <w:r>
        <w:rPr/>
        <w:t xml:space="preserve">scope criteria evaluated against the authorization envelope (§11.4.3) </w:t>
      </w:r>
    </w:p>
    <w:p>
      <w:pPr>
        <w:pStyle w:val="BodyText"/>
        <w:numPr>
          <w:ilvl w:val="0"/>
          <w:numId w:val="43"/>
        </w:numPr>
        <w:tabs>
          <w:tab w:val="clear" w:pos="1134"/>
          <w:tab w:val="left" w:pos="709" w:leader="none"/>
        </w:tabs>
        <w:bidi w:val="0"/>
        <w:spacing w:before="0" w:after="0"/>
        <w:ind w:hanging="283" w:left="709"/>
        <w:jc w:val="left"/>
        <w:rPr/>
      </w:pPr>
      <w:r>
        <w:rPr/>
        <w:t xml:space="preserve">inconclusive executions distinguished from adverse results (§11.4.4) </w:t>
      </w:r>
    </w:p>
    <w:p>
      <w:pPr>
        <w:pStyle w:val="BodyText"/>
        <w:numPr>
          <w:ilvl w:val="0"/>
          <w:numId w:val="43"/>
        </w:numPr>
        <w:tabs>
          <w:tab w:val="clear" w:pos="1134"/>
          <w:tab w:val="left" w:pos="709" w:leader="none"/>
        </w:tabs>
        <w:bidi w:val="0"/>
        <w:spacing w:before="0" w:after="0"/>
        <w:ind w:hanging="283" w:left="709"/>
        <w:jc w:val="left"/>
        <w:rPr/>
      </w:pPr>
      <w:r>
        <w:rPr/>
        <w:t xml:space="preserve">critical-failure evaluation </w:t>
      </w:r>
    </w:p>
    <w:p>
      <w:pPr>
        <w:pStyle w:val="BodyText"/>
        <w:numPr>
          <w:ilvl w:val="0"/>
          <w:numId w:val="43"/>
        </w:numPr>
        <w:tabs>
          <w:tab w:val="clear" w:pos="1134"/>
          <w:tab w:val="left" w:pos="709" w:leader="none"/>
        </w:tabs>
        <w:bidi w:val="0"/>
        <w:spacing w:before="0" w:after="0"/>
        <w:ind w:hanging="283" w:left="709"/>
        <w:jc w:val="left"/>
        <w:rPr/>
      </w:pPr>
      <w:r>
        <w:rPr/>
        <w:t xml:space="preserve">explicit qualified scope and exclusions </w:t>
      </w:r>
    </w:p>
    <w:p>
      <w:pPr>
        <w:pStyle w:val="BodyText"/>
        <w:numPr>
          <w:ilvl w:val="0"/>
          <w:numId w:val="43"/>
        </w:numPr>
        <w:tabs>
          <w:tab w:val="clear" w:pos="1134"/>
          <w:tab w:val="left" w:pos="709" w:leader="none"/>
        </w:tabs>
        <w:bidi w:val="0"/>
        <w:ind w:hanging="283" w:left="709"/>
        <w:jc w:val="left"/>
        <w:rPr/>
      </w:pPr>
      <w:r>
        <w:rPr/>
        <w:t xml:space="preserve">current status and validity period </w:t>
      </w:r>
    </w:p>
    <w:p>
      <w:pPr>
        <w:pStyle w:val="Heading3"/>
        <w:bidi w:val="0"/>
        <w:jc w:val="left"/>
        <w:rPr/>
      </w:pPr>
      <w:r>
        <w:rPr/>
        <w:t>17.3 TAK-JSI-Qualified</w:t>
      </w:r>
    </w:p>
    <w:p>
      <w:pPr>
        <w:pStyle w:val="BodyText"/>
        <w:bidi w:val="0"/>
        <w:jc w:val="left"/>
        <w:rPr/>
      </w:pPr>
      <w:r>
        <w:rPr/>
        <w:t xml:space="preserve">Requires everything in </w:t>
      </w:r>
      <w:r>
        <w:rPr>
          <w:rStyle w:val="SourceText"/>
        </w:rPr>
        <w:t>TAK-JSI-Assessed</w:t>
      </w:r>
      <w:r>
        <w:rPr/>
        <w:t>, plus:</w:t>
      </w:r>
    </w:p>
    <w:p>
      <w:pPr>
        <w:pStyle w:val="BodyText"/>
        <w:numPr>
          <w:ilvl w:val="0"/>
          <w:numId w:val="44"/>
        </w:numPr>
        <w:tabs>
          <w:tab w:val="clear" w:pos="1134"/>
          <w:tab w:val="left" w:pos="709" w:leader="none"/>
        </w:tabs>
        <w:bidi w:val="0"/>
        <w:spacing w:before="0" w:after="0"/>
        <w:ind w:hanging="283" w:left="709"/>
        <w:jc w:val="left"/>
        <w:rPr/>
      </w:pPr>
      <w:r>
        <w:rPr/>
        <w:t xml:space="preserve">operational outcome evidence or a governed probation/shadow period </w:t>
      </w:r>
    </w:p>
    <w:p>
      <w:pPr>
        <w:pStyle w:val="BodyText"/>
        <w:numPr>
          <w:ilvl w:val="0"/>
          <w:numId w:val="44"/>
        </w:numPr>
        <w:tabs>
          <w:tab w:val="clear" w:pos="1134"/>
          <w:tab w:val="left" w:pos="709" w:leader="none"/>
        </w:tabs>
        <w:bidi w:val="0"/>
        <w:spacing w:before="0" w:after="0"/>
        <w:ind w:hanging="283" w:left="709"/>
        <w:jc w:val="left"/>
        <w:rPr/>
      </w:pPr>
      <w:r>
        <w:rPr/>
        <w:t xml:space="preserve">active surveillance </w:t>
      </w:r>
    </w:p>
    <w:p>
      <w:pPr>
        <w:pStyle w:val="BodyText"/>
        <w:numPr>
          <w:ilvl w:val="0"/>
          <w:numId w:val="44"/>
        </w:numPr>
        <w:tabs>
          <w:tab w:val="clear" w:pos="1134"/>
          <w:tab w:val="left" w:pos="709" w:leader="none"/>
        </w:tabs>
        <w:bidi w:val="0"/>
        <w:spacing w:before="0" w:after="0"/>
        <w:ind w:hanging="283" w:left="709"/>
        <w:jc w:val="left"/>
        <w:rPr/>
      </w:pPr>
      <w:r>
        <w:rPr/>
        <w:t xml:space="preserve">material-change detection </w:t>
      </w:r>
    </w:p>
    <w:p>
      <w:pPr>
        <w:pStyle w:val="BodyText"/>
        <w:numPr>
          <w:ilvl w:val="0"/>
          <w:numId w:val="44"/>
        </w:numPr>
        <w:tabs>
          <w:tab w:val="clear" w:pos="1134"/>
          <w:tab w:val="left" w:pos="709" w:leader="none"/>
        </w:tabs>
        <w:bidi w:val="0"/>
        <w:spacing w:before="0" w:after="0"/>
        <w:ind w:hanging="283" w:left="709"/>
        <w:jc w:val="left"/>
        <w:rPr/>
      </w:pPr>
      <w:r>
        <w:rPr/>
        <w:t xml:space="preserve">enforceable TAK autonomy ceiling and regression path </w:t>
      </w:r>
    </w:p>
    <w:p>
      <w:pPr>
        <w:pStyle w:val="BodyText"/>
        <w:numPr>
          <w:ilvl w:val="0"/>
          <w:numId w:val="44"/>
        </w:numPr>
        <w:tabs>
          <w:tab w:val="clear" w:pos="1134"/>
          <w:tab w:val="left" w:pos="709" w:leader="none"/>
        </w:tabs>
        <w:bidi w:val="0"/>
        <w:spacing w:before="0" w:after="0"/>
        <w:ind w:hanging="283" w:left="709"/>
        <w:jc w:val="left"/>
        <w:rPr/>
      </w:pPr>
      <w:r>
        <w:rPr/>
        <w:t xml:space="preserve">GAID-bound qualification advertisement and verifier status </w:t>
      </w:r>
    </w:p>
    <w:p>
      <w:pPr>
        <w:pStyle w:val="BodyText"/>
        <w:numPr>
          <w:ilvl w:val="0"/>
          <w:numId w:val="44"/>
        </w:numPr>
        <w:tabs>
          <w:tab w:val="clear" w:pos="1134"/>
          <w:tab w:val="left" w:pos="709" w:leader="none"/>
        </w:tabs>
        <w:bidi w:val="0"/>
        <w:ind w:hanging="283" w:left="709"/>
        <w:jc w:val="left"/>
        <w:rPr/>
      </w:pPr>
      <w:r>
        <w:rPr/>
        <w:t xml:space="preserve">periodic reassessment or renewal </w:t>
      </w:r>
    </w:p>
    <w:p>
      <w:pPr>
        <w:pStyle w:val="Heading2"/>
        <w:bidi w:val="0"/>
        <w:jc w:val="left"/>
        <w:rPr/>
      </w:pPr>
      <w:r>
        <w:rPr/>
        <w:t>18. Informative Annex A: Qualification Lifecycle</w:t>
      </w:r>
    </w:p>
    <w:p>
      <w:pPr>
        <w:pStyle w:val="BodyText"/>
        <w:bidi w:val="0"/>
        <w:jc w:val="left"/>
        <w:rPr/>
      </w:pPr>
      <w:r>
        <w:rPr/>
        <w:drawing>
          <wp:inline distT="0" distB="0" distL="0" distR="0">
            <wp:extent cx="26670000" cy="58102500"/>
            <wp:effectExtent l="0" t="0" r="0" b="0"/>
            <wp:docPr id="1" name="Image1" descr="TAK-JSI qualification life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TAK-JSI qualification lifecycle"/>
                    <pic:cNvPicPr>
                      <a:picLocks noChangeAspect="1" noChangeArrowheads="1"/>
                    </pic:cNvPicPr>
                  </pic:nvPicPr>
                  <pic:blipFill>
                    <a:blip r:embed="rId32"/>
                    <a:stretch>
                      <a:fillRect/>
                    </a:stretch>
                  </pic:blipFill>
                  <pic:spPr bwMode="auto">
                    <a:xfrm>
                      <a:off x="0" y="0"/>
                      <a:ext cx="26670000" cy="58102500"/>
                    </a:xfrm>
                    <a:prstGeom prst="rect">
                      <a:avLst/>
                    </a:prstGeom>
                    <a:noFill/>
                  </pic:spPr>
                </pic:pic>
              </a:graphicData>
            </a:graphic>
          </wp:inline>
        </w:drawing>
      </w:r>
    </w:p>
    <w:p>
      <w:pPr>
        <w:pStyle w:val="BodyText"/>
        <w:bidi w:val="0"/>
        <w:jc w:val="left"/>
        <w:rPr/>
      </w:pPr>
      <w:r>
        <w:rPr>
          <w:rStyle w:val="Emphasis"/>
        </w:rPr>
        <w:t>Figure 1. A qualification is defined, assessed, earned, monitored, and revalidated; it is never a permanent property of the agent name.</w:t>
      </w:r>
    </w:p>
    <w:p>
      <w:pPr>
        <w:pStyle w:val="Heading2"/>
        <w:bidi w:val="0"/>
        <w:jc w:val="left"/>
        <w:rPr/>
      </w:pPr>
      <w:r>
        <w:rPr/>
        <w:t>19. Informative Annex B: Example Qualification Record</w:t>
      </w:r>
    </w:p>
    <w:p>
      <w:pPr>
        <w:pStyle w:val="PreformattedText"/>
        <w:bidi w:val="0"/>
        <w:jc w:val="left"/>
        <w:rPr/>
      </w:pPr>
      <w:r>
        <w:rPr>
          <w:rStyle w:val="SourceText"/>
        </w:rPr>
        <w:t>{</w:t>
      </w:r>
    </w:p>
    <w:p>
      <w:pPr>
        <w:pStyle w:val="PreformattedText"/>
        <w:bidi w:val="0"/>
        <w:jc w:val="left"/>
        <w:rPr/>
      </w:pPr>
      <w:r>
        <w:rPr>
          <w:rStyle w:val="SourceText"/>
        </w:rPr>
        <w:t xml:space="preserve">  </w:t>
      </w:r>
      <w:r>
        <w:rPr>
          <w:rStyle w:val="SourceText"/>
        </w:rPr>
        <w:t>"qualification_id": "jsiq:example.org:accounts-payable-review:2026-01",</w:t>
      </w:r>
    </w:p>
    <w:p>
      <w:pPr>
        <w:pStyle w:val="PreformattedText"/>
        <w:bidi w:val="0"/>
        <w:jc w:val="left"/>
        <w:rPr/>
      </w:pPr>
      <w:r>
        <w:rPr>
          <w:rStyle w:val="SourceText"/>
        </w:rPr>
        <w:t xml:space="preserve">  </w:t>
      </w:r>
      <w:r>
        <w:rPr>
          <w:rStyle w:val="SourceText"/>
        </w:rPr>
        <w:t>"tak_jsi_version": "0.1.0",</w:t>
      </w:r>
    </w:p>
    <w:p>
      <w:pPr>
        <w:pStyle w:val="PreformattedText"/>
        <w:bidi w:val="0"/>
        <w:jc w:val="left"/>
        <w:rPr/>
      </w:pPr>
      <w:r>
        <w:rPr>
          <w:rStyle w:val="SourceText"/>
        </w:rPr>
        <w:t xml:space="preserve">  </w:t>
      </w:r>
      <w:r>
        <w:rPr>
          <w:rStyle w:val="SourceText"/>
        </w:rPr>
        <w:t>"scheme": {</w:t>
      </w:r>
    </w:p>
    <w:p>
      <w:pPr>
        <w:pStyle w:val="PreformattedText"/>
        <w:bidi w:val="0"/>
        <w:jc w:val="left"/>
        <w:rPr/>
      </w:pPr>
      <w:r>
        <w:rPr>
          <w:rStyle w:val="SourceText"/>
        </w:rPr>
        <w:t xml:space="preserve">    </w:t>
      </w:r>
      <w:r>
        <w:rPr>
          <w:rStyle w:val="SourceText"/>
        </w:rPr>
        <w:t>"id": "jsischeme:example.org:accounts-payable-review",</w:t>
      </w:r>
    </w:p>
    <w:p>
      <w:pPr>
        <w:pStyle w:val="PreformattedText"/>
        <w:bidi w:val="0"/>
        <w:jc w:val="left"/>
        <w:rPr/>
      </w:pPr>
      <w:r>
        <w:rPr>
          <w:rStyle w:val="SourceText"/>
        </w:rPr>
        <w:t xml:space="preserve">    </w:t>
      </w:r>
      <w:r>
        <w:rPr>
          <w:rStyle w:val="SourceText"/>
        </w:rPr>
        <w:t>"version": "2.1.0"</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"job_profile": {</w:t>
      </w:r>
    </w:p>
    <w:p>
      <w:pPr>
        <w:pStyle w:val="PreformattedText"/>
        <w:bidi w:val="0"/>
        <w:jc w:val="left"/>
        <w:rPr/>
      </w:pPr>
      <w:r>
        <w:rPr>
          <w:rStyle w:val="SourceText"/>
        </w:rPr>
        <w:t xml:space="preserve">    </w:t>
      </w:r>
      <w:r>
        <w:rPr>
          <w:rStyle w:val="SourceText"/>
        </w:rPr>
        <w:t>"id": "job:example.org:accounts-payable-specialist",</w:t>
      </w:r>
    </w:p>
    <w:p>
      <w:pPr>
        <w:pStyle w:val="PreformattedText"/>
        <w:bidi w:val="0"/>
        <w:jc w:val="left"/>
        <w:rPr/>
      </w:pPr>
      <w:r>
        <w:rPr>
          <w:rStyle w:val="SourceText"/>
        </w:rPr>
        <w:t xml:space="preserve">    </w:t>
      </w:r>
      <w:r>
        <w:rPr>
          <w:rStyle w:val="SourceText"/>
        </w:rPr>
        <w:t>"version": "4.0.0",</w:t>
      </w:r>
    </w:p>
    <w:p>
      <w:pPr>
        <w:pStyle w:val="PreformattedText"/>
        <w:bidi w:val="0"/>
        <w:jc w:val="left"/>
        <w:rPr/>
      </w:pPr>
      <w:r>
        <w:rPr>
          <w:rStyle w:val="SourceText"/>
        </w:rPr>
        <w:t xml:space="preserve">    </w:t>
      </w:r>
      <w:r>
        <w:rPr>
          <w:rStyle w:val="SourceText"/>
        </w:rPr>
        <w:t>"activities": ["invoice-validation", "exception-routing"]</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"subject": {</w:t>
      </w:r>
    </w:p>
    <w:p>
      <w:pPr>
        <w:pStyle w:val="PreformattedText"/>
        <w:bidi w:val="0"/>
        <w:jc w:val="left"/>
        <w:rPr/>
      </w:pPr>
      <w:r>
        <w:rPr>
          <w:rStyle w:val="SourceText"/>
        </w:rPr>
        <w:t xml:space="preserve">    </w:t>
      </w:r>
      <w:r>
        <w:rPr>
          <w:rStyle w:val="SourceText"/>
        </w:rPr>
        <w:t>"gaid": "gaid:priv:example.org:ap-coworker",</w:t>
      </w:r>
    </w:p>
    <w:p>
      <w:pPr>
        <w:pStyle w:val="PreformattedText"/>
        <w:bidi w:val="0"/>
        <w:jc w:val="left"/>
        <w:rPr/>
      </w:pPr>
      <w:r>
        <w:rPr>
          <w:rStyle w:val="SourceText"/>
        </w:rPr>
        <w:t xml:space="preserve">    </w:t>
      </w:r>
      <w:r>
        <w:rPr>
          <w:rStyle w:val="SourceText"/>
        </w:rPr>
        <w:t>"operating_profile_fingerprint": "sha256:example"</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"scope": {</w:t>
      </w:r>
    </w:p>
    <w:p>
      <w:pPr>
        <w:pStyle w:val="PreformattedText"/>
        <w:bidi w:val="0"/>
        <w:jc w:val="left"/>
        <w:rPr/>
      </w:pPr>
      <w:r>
        <w:rPr>
          <w:rStyle w:val="SourceText"/>
        </w:rPr>
        <w:t xml:space="preserve">    </w:t>
      </w:r>
      <w:r>
        <w:rPr>
          <w:rStyle w:val="SourceText"/>
        </w:rPr>
        <w:t>"data_classes": ["internal", "confidential-finance"],</w:t>
      </w:r>
    </w:p>
    <w:p>
      <w:pPr>
        <w:pStyle w:val="PreformattedText"/>
        <w:bidi w:val="0"/>
        <w:jc w:val="left"/>
        <w:rPr/>
      </w:pPr>
      <w:r>
        <w:rPr>
          <w:rStyle w:val="SourceText"/>
        </w:rPr>
        <w:t xml:space="preserve">    </w:t>
      </w:r>
      <w:r>
        <w:rPr>
          <w:rStyle w:val="SourceText"/>
        </w:rPr>
        <w:t>"authorization_classes": ["observe", "analyze", "report"],</w:t>
      </w:r>
    </w:p>
    <w:p>
      <w:pPr>
        <w:pStyle w:val="PreformattedText"/>
        <w:bidi w:val="0"/>
        <w:jc w:val="left"/>
        <w:rPr/>
      </w:pPr>
      <w:r>
        <w:rPr>
          <w:rStyle w:val="SourceText"/>
        </w:rPr>
        <w:t xml:space="preserve">    </w:t>
      </w:r>
      <w:r>
        <w:rPr>
          <w:rStyle w:val="SourceText"/>
        </w:rPr>
        <w:t>"excluded_uses": ["payment-release", "bank-account-change"],</w:t>
      </w:r>
    </w:p>
    <w:p>
      <w:pPr>
        <w:pStyle w:val="PreformattedText"/>
        <w:bidi w:val="0"/>
        <w:jc w:val="left"/>
        <w:rPr/>
      </w:pPr>
      <w:r>
        <w:rPr>
          <w:rStyle w:val="SourceText"/>
        </w:rPr>
        <w:t xml:space="preserve">    </w:t>
      </w:r>
      <w:r>
        <w:rPr>
          <w:rStyle w:val="SourceText"/>
        </w:rPr>
        <w:t>"jurisdictions": ["US"],</w:t>
      </w:r>
    </w:p>
    <w:p>
      <w:pPr>
        <w:pStyle w:val="PreformattedText"/>
        <w:bidi w:val="0"/>
        <w:jc w:val="left"/>
        <w:rPr/>
      </w:pPr>
      <w:r>
        <w:rPr>
          <w:rStyle w:val="SourceText"/>
        </w:rPr>
        <w:t xml:space="preserve">    </w:t>
      </w:r>
      <w:r>
        <w:rPr>
          <w:rStyle w:val="SourceText"/>
        </w:rPr>
        <w:t>"autonomy_ceiling": "review-after-execution"</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"routing_policy": {</w:t>
      </w:r>
    </w:p>
    <w:p>
      <w:pPr>
        <w:pStyle w:val="PreformattedText"/>
        <w:bidi w:val="0"/>
        <w:jc w:val="left"/>
        <w:rPr/>
      </w:pPr>
      <w:r>
        <w:rPr>
          <w:rStyle w:val="SourceText"/>
        </w:rPr>
        <w:t xml:space="preserve">    </w:t>
      </w:r>
      <w:r>
        <w:rPr>
          <w:rStyle w:val="SourceText"/>
        </w:rPr>
        <w:t>"id": "route:example.org:ap-review",</w:t>
      </w:r>
    </w:p>
    <w:p>
      <w:pPr>
        <w:pStyle w:val="PreformattedText"/>
        <w:bidi w:val="0"/>
        <w:jc w:val="left"/>
        <w:rPr/>
      </w:pPr>
      <w:r>
        <w:rPr>
          <w:rStyle w:val="SourceText"/>
        </w:rPr>
        <w:t xml:space="preserve">    </w:t>
      </w:r>
      <w:r>
        <w:rPr>
          <w:rStyle w:val="SourceText"/>
        </w:rPr>
        <w:t>"version": "3.2.0"</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"assurance_level": "org-attested",</w:t>
      </w:r>
    </w:p>
    <w:p>
      <w:pPr>
        <w:pStyle w:val="PreformattedText"/>
        <w:bidi w:val="0"/>
        <w:jc w:val="left"/>
        <w:rPr/>
      </w:pPr>
      <w:r>
        <w:rPr>
          <w:rStyle w:val="SourceText"/>
        </w:rPr>
        <w:t xml:space="preserve">  </w:t>
      </w:r>
      <w:r>
        <w:rPr>
          <w:rStyle w:val="SourceText"/>
        </w:rPr>
        <w:t>"evidence": [</w:t>
      </w:r>
    </w:p>
    <w:p>
      <w:pPr>
        <w:pStyle w:val="PreformattedText"/>
        <w:bidi w:val="0"/>
        <w:jc w:val="left"/>
        <w:rPr/>
      </w:pPr>
      <w:r>
        <w:rPr>
          <w:rStyle w:val="SourceText"/>
        </w:rPr>
        <w:t xml:space="preserve">    </w:t>
      </w:r>
      <w:r>
        <w:rPr>
          <w:rStyle w:val="SourceText"/>
        </w:rPr>
        <w:t>"https://assurance.example.org/evidence/ap-review-2026-01"</w:t>
      </w:r>
    </w:p>
    <w:p>
      <w:pPr>
        <w:pStyle w:val="PreformattedText"/>
        <w:bidi w:val="0"/>
        <w:jc w:val="left"/>
        <w:rPr/>
      </w:pPr>
      <w:r>
        <w:rPr>
          <w:rStyle w:val="SourceText"/>
        </w:rPr>
        <w:t xml:space="preserve">  </w:t>
      </w:r>
      <w:r>
        <w:rPr>
          <w:rStyle w:val="SourceText"/>
        </w:rPr>
        <w:t>],</w:t>
      </w:r>
    </w:p>
    <w:p>
      <w:pPr>
        <w:pStyle w:val="PreformattedText"/>
        <w:bidi w:val="0"/>
        <w:jc w:val="left"/>
        <w:rPr/>
      </w:pPr>
      <w:r>
        <w:rPr>
          <w:rStyle w:val="SourceText"/>
        </w:rPr>
        <w:t xml:space="preserve">  </w:t>
      </w:r>
      <w:r>
        <w:rPr>
          <w:rStyle w:val="SourceText"/>
        </w:rPr>
        <w:t>"issued_at": "2026-07-26T00:00:00Z",</w:t>
      </w:r>
    </w:p>
    <w:p>
      <w:pPr>
        <w:pStyle w:val="PreformattedText"/>
        <w:bidi w:val="0"/>
        <w:jc w:val="left"/>
        <w:rPr/>
      </w:pPr>
      <w:r>
        <w:rPr>
          <w:rStyle w:val="SourceText"/>
        </w:rPr>
        <w:t xml:space="preserve">  </w:t>
      </w:r>
      <w:r>
        <w:rPr>
          <w:rStyle w:val="SourceText"/>
        </w:rPr>
        <w:t>"review_after": "2026-10-26T00:00:00Z",</w:t>
      </w:r>
    </w:p>
    <w:p>
      <w:pPr>
        <w:pStyle w:val="PreformattedText"/>
        <w:bidi w:val="0"/>
        <w:jc w:val="left"/>
        <w:rPr/>
      </w:pPr>
      <w:r>
        <w:rPr>
          <w:rStyle w:val="SourceText"/>
        </w:rPr>
        <w:t xml:space="preserve">  </w:t>
      </w:r>
      <w:r>
        <w:rPr>
          <w:rStyle w:val="SourceText"/>
        </w:rPr>
        <w:t>"status": "active",</w:t>
      </w:r>
    </w:p>
    <w:p>
      <w:pPr>
        <w:pStyle w:val="PreformattedText"/>
        <w:bidi w:val="0"/>
        <w:jc w:val="left"/>
        <w:rPr/>
      </w:pPr>
      <w:r>
        <w:rPr>
          <w:rStyle w:val="SourceText"/>
        </w:rPr>
        <w:t xml:space="preserve">  </w:t>
      </w:r>
      <w:r>
        <w:rPr>
          <w:rStyle w:val="SourceText"/>
        </w:rPr>
        <w:t>"status_endpoint": "https://assurance.example.org/status/ap-coworker"</w:t>
      </w:r>
    </w:p>
    <w:p>
      <w:pPr>
        <w:pStyle w:val="PreformattedText"/>
        <w:bidi w:val="0"/>
        <w:spacing w:before="0" w:after="283"/>
        <w:jc w:val="left"/>
        <w:rPr/>
      </w:pPr>
      <w:r>
        <w:rPr>
          <w:rStyle w:val="SourceText"/>
        </w:rPr>
        <w:t>}</w:t>
      </w:r>
    </w:p>
    <w:p>
      <w:pPr>
        <w:pStyle w:val="Heading2"/>
        <w:bidi w:val="0"/>
        <w:jc w:val="left"/>
        <w:rPr/>
      </w:pPr>
      <w:r>
        <w:rPr/>
        <w:t>20. Informative Annex C: Relationship to DPF</w:t>
      </w:r>
    </w:p>
    <w:p>
      <w:pPr>
        <w:pStyle w:val="BodyText"/>
        <w:bidi w:val="0"/>
        <w:jc w:val="left"/>
        <w:rPr/>
      </w:pPr>
      <w:r>
        <w:rPr/>
        <w:t xml:space="preserve">DPF is a prototype implementation environment for </w:t>
      </w:r>
      <w:r>
        <w:rPr>
          <w:rStyle w:val="SourceText"/>
        </w:rPr>
        <w:t>TAK-JSI</w:t>
      </w:r>
      <w:r>
        <w:rPr/>
        <w:t>, not a present claim of complete conformance.</w:t>
      </w:r>
    </w:p>
    <w:p>
      <w:pPr>
        <w:pStyle w:val="BodyText"/>
        <w:bidi w:val="0"/>
        <w:jc w:val="left"/>
        <w:rPr/>
      </w:pPr>
      <w:r>
        <w:rPr/>
        <w:t>Its current substrate demonstrates important parts of the profile:</w:t>
      </w:r>
    </w:p>
    <w:p>
      <w:pPr>
        <w:pStyle w:val="BodyText"/>
        <w:numPr>
          <w:ilvl w:val="0"/>
          <w:numId w:val="45"/>
        </w:numPr>
        <w:tabs>
          <w:tab w:val="clear" w:pos="1134"/>
          <w:tab w:val="left" w:pos="709" w:leader="none"/>
        </w:tabs>
        <w:bidi w:val="0"/>
        <w:spacing w:before="0" w:after="0"/>
        <w:ind w:hanging="283" w:left="709"/>
        <w:jc w:val="left"/>
        <w:rPr/>
      </w:pPr>
      <w:r>
        <w:rPr/>
        <w:t xml:space="preserve">AI Coworker identity and lifecycle </w:t>
      </w:r>
    </w:p>
    <w:p>
      <w:pPr>
        <w:pStyle w:val="BodyText"/>
        <w:numPr>
          <w:ilvl w:val="0"/>
          <w:numId w:val="45"/>
        </w:numPr>
        <w:tabs>
          <w:tab w:val="clear" w:pos="1134"/>
          <w:tab w:val="left" w:pos="709" w:leader="none"/>
        </w:tabs>
        <w:bidi w:val="0"/>
        <w:spacing w:before="0" w:after="0"/>
        <w:ind w:hanging="283" w:left="709"/>
        <w:jc w:val="left"/>
        <w:rPr/>
      </w:pPr>
      <w:r>
        <w:rPr/>
        <w:t xml:space="preserve">WSID profession corpora and profession-local decision axes </w:t>
      </w:r>
    </w:p>
    <w:p>
      <w:pPr>
        <w:pStyle w:val="BodyText"/>
        <w:numPr>
          <w:ilvl w:val="0"/>
          <w:numId w:val="45"/>
        </w:numPr>
        <w:tabs>
          <w:tab w:val="clear" w:pos="1134"/>
          <w:tab w:val="left" w:pos="709" w:leader="none"/>
        </w:tabs>
        <w:bidi w:val="0"/>
        <w:spacing w:before="0" w:after="0"/>
        <w:ind w:hanging="283" w:left="709"/>
        <w:jc w:val="left"/>
        <w:rPr/>
      </w:pPr>
      <w:r>
        <w:rPr/>
        <w:t xml:space="preserve">model/provider routing with capability and sensitivity filters </w:t>
      </w:r>
    </w:p>
    <w:p>
      <w:pPr>
        <w:pStyle w:val="BodyText"/>
        <w:numPr>
          <w:ilvl w:val="0"/>
          <w:numId w:val="45"/>
        </w:numPr>
        <w:tabs>
          <w:tab w:val="clear" w:pos="1134"/>
          <w:tab w:val="left" w:pos="709" w:leader="none"/>
        </w:tabs>
        <w:bidi w:val="0"/>
        <w:spacing w:before="0" w:after="0"/>
        <w:ind w:hanging="283" w:left="709"/>
        <w:jc w:val="left"/>
        <w:rPr/>
      </w:pPr>
      <w:r>
        <w:rPr/>
        <w:t xml:space="preserve">Golden Triangle effort and assurance posture </w:t>
      </w:r>
    </w:p>
    <w:p>
      <w:pPr>
        <w:pStyle w:val="BodyText"/>
        <w:numPr>
          <w:ilvl w:val="0"/>
          <w:numId w:val="45"/>
        </w:numPr>
        <w:tabs>
          <w:tab w:val="clear" w:pos="1134"/>
          <w:tab w:val="left" w:pos="709" w:leader="none"/>
        </w:tabs>
        <w:bidi w:val="0"/>
        <w:spacing w:before="0" w:after="0"/>
        <w:ind w:hanging="283" w:left="709"/>
        <w:jc w:val="left"/>
        <w:rPr/>
      </w:pPr>
      <w:r>
        <w:rPr/>
        <w:t xml:space="preserve">proactivity controls </w:t>
      </w:r>
    </w:p>
    <w:p>
      <w:pPr>
        <w:pStyle w:val="BodyText"/>
        <w:numPr>
          <w:ilvl w:val="0"/>
          <w:numId w:val="45"/>
        </w:numPr>
        <w:tabs>
          <w:tab w:val="clear" w:pos="1134"/>
          <w:tab w:val="left" w:pos="709" w:leader="none"/>
        </w:tabs>
        <w:bidi w:val="0"/>
        <w:spacing w:before="0" w:after="0"/>
        <w:ind w:hanging="283" w:left="709"/>
        <w:jc w:val="left"/>
        <w:rPr/>
      </w:pPr>
      <w:r>
        <w:rPr/>
        <w:t xml:space="preserve">shadow-ledger and progressive-autonomy concepts </w:t>
      </w:r>
    </w:p>
    <w:p>
      <w:pPr>
        <w:pStyle w:val="BodyText"/>
        <w:numPr>
          <w:ilvl w:val="0"/>
          <w:numId w:val="45"/>
        </w:numPr>
        <w:tabs>
          <w:tab w:val="clear" w:pos="1134"/>
          <w:tab w:val="left" w:pos="709" w:leader="none"/>
        </w:tabs>
        <w:bidi w:val="0"/>
        <w:spacing w:before="0" w:after="0"/>
        <w:ind w:hanging="283" w:left="709"/>
        <w:jc w:val="left"/>
        <w:rPr/>
      </w:pPr>
      <w:r>
        <w:rPr/>
        <w:t xml:space="preserve">outcome and evidence records </w:t>
      </w:r>
    </w:p>
    <w:p>
      <w:pPr>
        <w:pStyle w:val="BodyText"/>
        <w:numPr>
          <w:ilvl w:val="0"/>
          <w:numId w:val="45"/>
        </w:numPr>
        <w:tabs>
          <w:tab w:val="clear" w:pos="1134"/>
          <w:tab w:val="left" w:pos="709" w:leader="none"/>
        </w:tabs>
        <w:bidi w:val="0"/>
        <w:ind w:hanging="283" w:left="709"/>
        <w:jc w:val="left"/>
        <w:rPr/>
      </w:pPr>
      <w:r>
        <w:rPr/>
        <w:t xml:space="preserve">material-change and validation-continuity concepts in TAK/GAID </w:t>
      </w:r>
    </w:p>
    <w:p>
      <w:pPr>
        <w:pStyle w:val="BodyText"/>
        <w:bidi w:val="0"/>
        <w:jc w:val="left"/>
        <w:rPr/>
      </w:pPr>
      <w:r>
        <w:rPr/>
        <w:t xml:space="preserve">The companion </w:t>
      </w:r>
      <w:hyperlink r:id="rId33">
        <w:r>
          <w:rPr>
            <w:rStyle w:val="Hyperlink"/>
          </w:rPr>
          <w:t>agent-standards-dpf-conformance.md</w:t>
        </w:r>
      </w:hyperlink>
      <w:r>
        <w:rPr/>
        <w:t xml:space="preserve"> records which parts are implemented, partial, or still absent.</w:t>
      </w:r>
    </w:p>
    <w:p>
      <w:pPr>
        <w:pStyle w:val="Heading2"/>
        <w:bidi w:val="0"/>
        <w:jc w:val="left"/>
        <w:rPr/>
      </w:pPr>
      <w:r>
        <w:rPr/>
        <w:t>21. Summary</w:t>
      </w:r>
    </w:p>
    <w:p>
      <w:pPr>
        <w:pStyle w:val="BodyText"/>
        <w:bidi w:val="0"/>
        <w:jc w:val="left"/>
        <w:rPr/>
      </w:pPr>
      <w:r>
        <w:rPr/>
        <w:t>The key message of this profile is:</w:t>
      </w:r>
    </w:p>
    <w:p>
      <w:pPr>
        <w:pStyle w:val="BodyText"/>
        <w:bidi w:val="0"/>
        <w:spacing w:before="0" w:after="283"/>
        <w:jc w:val="left"/>
        <w:rPr/>
      </w:pPr>
      <w:r>
        <w:rPr/>
        <w:t>An AI Coworker is not qualified for a job because its model is impressive. It is qualified only when the identified operating profile demonstrates the job's knowledge, judgment, tool, data, oversight, and outcome requirements; advertises that scope honestly; and continues to earn the evidence on which its autonomy depends.</w:t>
      </w:r>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Mono">
    <w:altName w:val="Courier New"/>
    <w:charset w:val="01"/>
    <w:family w:val="modern"/>
    <w:pitch w:val="fixed"/>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1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3">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7">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2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4">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3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0">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6">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w="http://schemas.openxmlformats.org/wordprocessingml/2006/main">
  <w:view w:val="web"/>
  <w:zoom w:percent="100"/>
  <w:defaultTabStop w:val="1134"/>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DejaVu Sans" w:cs="DejaVu Sans"/>
      <w:color w:val="auto"/>
      <w:sz w:val="24"/>
      <w:szCs w:val="24"/>
      <w:lang w:val="en-US" w:eastAsia="zh-CN" w:bidi="hi-IN"/>
    </w:rPr>
  </w:style>
  <w:style w:type="paragraph" w:styleId="Heading1">
    <w:name w:val="heading 1"/>
    <w:basedOn w:val="Heading"/>
    <w:next w:val="BodyText"/>
    <w:qFormat/>
    <w:pPr/>
    <w:rPr>
      <w:b/>
      <w:bCs/>
      <w:sz w:val="48"/>
      <w:szCs w:val="48"/>
    </w:rPr>
  </w:style>
  <w:style w:type="paragraph" w:styleId="Heading2">
    <w:name w:val="heading 2"/>
    <w:basedOn w:val="Heading"/>
    <w:next w:val="BodyText"/>
    <w:qFormat/>
    <w:pPr>
      <w:spacing w:before="200" w:after="120"/>
      <w:outlineLvl w:val="1"/>
    </w:pPr>
    <w:rPr>
      <w:rFonts w:ascii="Liberation Serif" w:hAnsi="Liberation Serif" w:eastAsia="DejaVu Sans" w:cs="DejaVu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8"/>
      <w:szCs w:val="28"/>
    </w:rPr>
  </w:style>
  <w:style w:type="paragraph" w:styleId="Heading4">
    <w:name w:val="heading 4"/>
    <w:basedOn w:val="Heading"/>
    <w:next w:val="BodyText"/>
    <w:qFormat/>
    <w:pPr>
      <w:spacing w:before="120" w:after="120"/>
      <w:outlineLvl w:val="3"/>
    </w:pPr>
    <w:rPr>
      <w:rFonts w:ascii="Liberation Serif" w:hAnsi="Liberation Serif" w:eastAsia="DejaVu Sans" w:cs="DejaVu Sans"/>
      <w:b/>
      <w:bCs/>
      <w:sz w:val="24"/>
      <w:szCs w:val="24"/>
    </w:rPr>
  </w:style>
  <w:style w:type="character" w:styleId="EndnoteReference">
    <w:name w:val="endnote reference"/>
    <w:rPr>
      <w:vertAlign w:val="superscript"/>
    </w:rPr>
  </w:style>
  <w:style w:type="character" w:styleId="FootnoteReference">
    <w:name w:val="footnote reference"/>
    <w:rPr>
      <w:vertAlign w:val="superscript"/>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character" w:styleId="SourceText">
    <w:name w:val="Source Text"/>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Index">
    <w:name w:val="Index"/>
    <w:basedOn w:val="Normal"/>
    <w:qFormat/>
    <w:pPr>
      <w:suppressLineNumbers/>
    </w:pPr>
    <w:rPr/>
  </w:style>
  <w:style w:type="paragraph" w:styleId="Caption">
    <w:name w:val="caption"/>
    <w:basedOn w:val="Normal"/>
    <w:qFormat/>
    <w:pPr>
      <w:suppressLineNumbers/>
      <w:spacing w:before="120" w:after="120"/>
    </w:pPr>
    <w:rPr>
      <w:i/>
      <w:iCs/>
      <w:sz w:val="24"/>
      <w:szCs w:val="24"/>
    </w:rPr>
  </w:style>
  <w:style w:type="paragraph" w:styleId="List">
    <w:name w:val="List"/>
    <w:basedOn w:val="BodyText"/>
    <w:pPr/>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TableHeading">
    <w:name w:val="Table Heading"/>
    <w:basedOn w:val="TableContents"/>
    <w:qFormat/>
    <w:pPr>
      <w:suppressLineNumbers/>
      <w:jc w:val="center"/>
    </w:pPr>
    <w:rPr>
      <w:b/>
      <w:bCs/>
    </w:rPr>
  </w:style>
  <w:style w:type="paragraph" w:styleId="BlockQuotation">
    <w:name w:val="Block Quotation"/>
    <w:basedOn w:val="Normal"/>
    <w:qFormat/>
    <w:pPr>
      <w:spacing w:before="0" w:after="283"/>
      <w:ind w:hanging="0" w:left="567" w:right="567"/>
    </w:pPr>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in/trusted-ai-kernel.md" TargetMode="External"/><Relationship Id="rId3" Type="http://schemas.openxmlformats.org/officeDocument/2006/relationships/hyperlink" Target="../in/GAID.md" TargetMode="External"/><Relationship Id="rId4" Type="http://schemas.openxmlformats.org/officeDocument/2006/relationships/hyperlink" Target="../in/agent-standards-external-alignment.md" TargetMode="External"/><Relationship Id="rId5" Type="http://schemas.openxmlformats.org/officeDocument/2006/relationships/hyperlink" Target="https://doi.org/10.6028/NIST.AI.100-1" TargetMode="External"/><Relationship Id="rId6" Type="http://schemas.openxmlformats.org/officeDocument/2006/relationships/hyperlink" Target="https://airc.nist.gov/airmf-resources/playbook/measure/" TargetMode="External"/><Relationship Id="rId7" Type="http://schemas.openxmlformats.org/officeDocument/2006/relationships/hyperlink" Target="https://www.nist.gov/artificial-intelligence/ai-agent-standards-initiative" TargetMode="External"/><Relationship Id="rId8" Type="http://schemas.openxmlformats.org/officeDocument/2006/relationships/hyperlink" Target="https://www.nist.gov/artificial-intelligence/nist-ai-consortium" TargetMode="External"/><Relationship Id="rId9" Type="http://schemas.openxmlformats.org/officeDocument/2006/relationships/hyperlink" Target="https://www.iso.org/standard/17024" TargetMode="External"/><Relationship Id="rId10" Type="http://schemas.openxmlformats.org/officeDocument/2006/relationships/hyperlink" Target="https://www.iso.org/standard/46568.html" TargetMode="External"/><Relationship Id="rId11" Type="http://schemas.openxmlformats.org/officeDocument/2006/relationships/hyperlink" Target="https://www.iso.org/standard/55087.html" TargetMode="External"/><Relationship Id="rId12" Type="http://schemas.openxmlformats.org/officeDocument/2006/relationships/hyperlink" Target="https://www.iso.org/standard/42006" TargetMode="External"/><Relationship Id="rId13" Type="http://schemas.openxmlformats.org/officeDocument/2006/relationships/hyperlink" Target="https://www.iso.org/committee/6794475.html" TargetMode="External"/><Relationship Id="rId14" Type="http://schemas.openxmlformats.org/officeDocument/2006/relationships/hyperlink" Target="https://www.iso.org/standard/80655.html" TargetMode="External"/><Relationship Id="rId15" Type="http://schemas.openxmlformats.org/officeDocument/2006/relationships/hyperlink" Target="https://www.iso.org/standard/77304.html" TargetMode="External"/><Relationship Id="rId16" Type="http://schemas.openxmlformats.org/officeDocument/2006/relationships/hyperlink" Target="https://www.iso.org/standard/42005" TargetMode="External"/><Relationship Id="rId17" Type="http://schemas.openxmlformats.org/officeDocument/2006/relationships/hyperlink" Target="https://www.iso.org/standard/84127.html" TargetMode="External"/><Relationship Id="rId18" Type="http://schemas.openxmlformats.org/officeDocument/2006/relationships/hyperlink" Target="https://www.iso.org/standard/85072.html" TargetMode="External"/><Relationship Id="rId19" Type="http://schemas.openxmlformats.org/officeDocument/2006/relationships/hyperlink" Target="https://www.iso.org/standard/81088.html" TargetMode="External"/><Relationship Id="rId20" Type="http://schemas.openxmlformats.org/officeDocument/2006/relationships/hyperlink" Target="https://www.iso.org/standard/81860.html" TargetMode="External"/><Relationship Id="rId21" Type="http://schemas.openxmlformats.org/officeDocument/2006/relationships/hyperlink" Target="https://www.iso.org/standard/81092.html" TargetMode="External"/><Relationship Id="rId22" Type="http://schemas.openxmlformats.org/officeDocument/2006/relationships/hyperlink" Target="https://www.iso.org/standard/84150.html" TargetMode="External"/><Relationship Id="rId23" Type="http://schemas.openxmlformats.org/officeDocument/2006/relationships/hyperlink" Target="https://www.w3.org/TR/vc-data-model/" TargetMode="External"/><Relationship Id="rId24" Type="http://schemas.openxmlformats.org/officeDocument/2006/relationships/hyperlink" Target="https://standards.1edtech.org/open-badges/specifications/standards/v3p0/cert" TargetMode="External"/><Relationship Id="rId25" Type="http://schemas.openxmlformats.org/officeDocument/2006/relationships/hyperlink" Target="https://arxiv.org/html/2608.27454" TargetMode="External"/><Relationship Id="rId26" Type="http://schemas.openxmlformats.org/officeDocument/2006/relationships/hyperlink" Target="https://alignment.anthropic.com/2026/automated-alignment-researchers/" TargetMode="External"/><Relationship Id="rId27" Type="http://schemas.openxmlformats.org/officeDocument/2006/relationships/hyperlink" Target="https://alignment.anthropic.com/2026/automated-w2s-researcher/" TargetMode="External"/><Relationship Id="rId28" Type="http://schemas.openxmlformats.org/officeDocument/2006/relationships/hyperlink" Target="https://www.onetcenter.org/content.html" TargetMode="External"/><Relationship Id="rId29" Type="http://schemas.openxmlformats.org/officeDocument/2006/relationships/hyperlink" Target="https://esco.ec.europa.eu/en/about-esco" TargetMode="External"/><Relationship Id="rId30" Type="http://schemas.openxmlformats.org/officeDocument/2006/relationships/hyperlink" Target="../superpowers/specs/2026-08-30-paaw-competence-evolution-workroom-design.md" TargetMode="External"/><Relationship Id="rId31" Type="http://schemas.openxmlformats.org/officeDocument/2006/relationships/hyperlink" Target="../superpowers/specs/2026-09-06-cross-workroom-learning-review-design.md" TargetMode="External"/><Relationship Id="rId32" Type="http://schemas.openxmlformats.org/officeDocument/2006/relationships/image" Target="media/image1.png"/><Relationship Id="rId33" Type="http://schemas.openxmlformats.org/officeDocument/2006/relationships/hyperlink" Target="../in/agent-standards-dpf-conformance.md" TargetMode="Externa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LibreOffice/25.2.3.2$Linux_AARCH64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Job-Specific Intelligence</dc:title>
</cp:coreProperties>
</file>

<file path=docProps/custom.xml><?xml version="1.0" encoding="utf-8"?>
<Properties xmlns="http://schemas.openxmlformats.org/officeDocument/2006/custom-properties" xmlns:vt="http://schemas.openxmlformats.org/officeDocument/2006/docPropsVTypes"/>
</file>