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Trusted AI Kernel (TAK)</w:t>
      </w:r>
    </w:p>
    <w:p>
      <w:pPr>
        <w:pStyle w:val="BodyText"/>
        <w:bidi w:val="0"/>
        <w:jc w:val="left"/>
        <w:rPr/>
      </w:pPr>
      <w:r>
        <w:rPr>
          <w:rStyle w:val="Strong"/>
        </w:rPr>
        <w:t>Normative Runtime Governance Standard</w:t>
      </w:r>
    </w:p>
    <w:p>
      <w:pPr>
        <w:pStyle w:val="BodyText"/>
        <w:bidi w:val="0"/>
        <w:jc w:val="left"/>
        <w:rPr/>
      </w:pPr>
      <w:r>
        <w:rPr>
          <w:rStyle w:val="Emphasis"/>
        </w:rPr>
        <w:t>Generated 2026-10-01</w:t>
      </w:r>
    </w:p>
    <w:p>
      <w:pPr>
        <w:pStyle w:val="Heading2"/>
        <w:bidi w:val="0"/>
        <w:jc w:val="left"/>
        <w:rPr/>
      </w:pPr>
      <w:r>
        <w:rPr/>
        <w:t>Abstract</w:t>
      </w:r>
    </w:p>
    <w:p>
      <w:pPr>
        <w:pStyle w:val="BodyText"/>
        <w:bidi w:val="0"/>
        <w:jc w:val="left"/>
        <w:rPr/>
      </w:pPr>
      <w:r>
        <w:rPr/>
        <w:t>The Trusted AI Kernel (</w:t>
      </w:r>
      <w:r>
        <w:rPr>
          <w:rStyle w:val="SourceText"/>
        </w:rPr>
        <w:t>TAK</w:t>
      </w:r>
      <w:r>
        <w:rPr/>
        <w:t>) is a normative agent-harness and runtime-governance standard for trustworthy AI agent operation. It defines the minimum harness contract and control model needed when AI agents act on behalf of human principals inside enterprise, public-sector, or cross-organizational systems.</w:t>
      </w:r>
    </w:p>
    <w:p>
      <w:pPr>
        <w:pStyle w:val="BodyText"/>
        <w:bidi w:val="0"/>
        <w:jc w:val="left"/>
        <w:rPr/>
      </w:pPr>
      <w:r>
        <w:rPr/>
        <w:t xml:space="preserve">The problem </w:t>
      </w:r>
      <w:r>
        <w:rPr>
          <w:rStyle w:val="SourceText"/>
        </w:rPr>
        <w:t>TAK</w:t>
      </w:r>
      <w:r>
        <w:rPr/>
        <w:t xml:space="preserve"> addresses is broader than runtime mediation alone: model capability does not create trustworthy agency, and ad hoc agent wrappers do not create a consistent basis for governed deployment. Trustworthy agency requires a standard harness that defines how authority, instructions, tool invocation, provider use, data sensitivity, memory, oversight, and evidence are assembled and enforced at runtime. </w:t>
      </w:r>
      <w:r>
        <w:rPr>
          <w:rStyle w:val="SourceText"/>
        </w:rPr>
        <w:t>TAK</w:t>
      </w:r>
      <w:r>
        <w:rPr/>
        <w:t xml:space="preserve"> defines that harness contract.</w:t>
      </w:r>
    </w:p>
    <w:p>
      <w:pPr>
        <w:pStyle w:val="BodyText"/>
        <w:bidi w:val="0"/>
        <w:jc w:val="left"/>
        <w:rPr/>
      </w:pPr>
      <w:r>
        <w:rPr>
          <w:rStyle w:val="SourceText"/>
        </w:rPr>
        <w:t>TAK</w:t>
      </w:r>
      <w:r>
        <w:rPr/>
        <w:t xml:space="preserve"> is intentionally concerned with runtime governance and harness consistency. It does not attempt to solve global agent naming or public badging; those concerns belong to the companion </w:t>
      </w:r>
      <w:r>
        <w:rPr>
          <w:rStyle w:val="SourceText"/>
        </w:rPr>
        <w:t>GAID</w:t>
      </w:r>
      <w:r>
        <w:rPr/>
        <w:t xml:space="preserve"> standard. It does not define whether an operating profile is qualified for a particular job; that concern belongs to the </w:t>
      </w:r>
      <w:r>
        <w:rPr>
          <w:rStyle w:val="SourceText"/>
        </w:rPr>
        <w:t>TAK-JSI</w:t>
      </w:r>
      <w:r>
        <w:rPr/>
        <w:t xml:space="preserve"> qualification profile. </w:t>
      </w:r>
      <w:r>
        <w:rPr>
          <w:rStyle w:val="SourceText"/>
        </w:rPr>
        <w:t>TAK</w:t>
      </w:r>
      <w:r>
        <w:rPr/>
        <w:t xml:space="preserve"> defines what a trustworthy agent harness and runtime </w:t>
      </w:r>
      <w:r>
        <w:rPr>
          <w:rStyle w:val="SourceText"/>
        </w:rPr>
        <w:t>MUST</w:t>
      </w:r>
      <w:r>
        <w:rPr/>
        <w:t xml:space="preserve">, </w:t>
      </w:r>
      <w:r>
        <w:rPr>
          <w:rStyle w:val="SourceText"/>
        </w:rPr>
        <w:t>SHOULD</w:t>
      </w:r>
      <w:r>
        <w:rPr/>
        <w:t xml:space="preserve">, and </w:t>
      </w:r>
      <w:r>
        <w:rPr>
          <w:rStyle w:val="SourceText"/>
        </w:rPr>
        <w:t>MAY</w:t>
      </w:r>
      <w:r>
        <w:rPr/>
        <w:t xml:space="preserve"> do once an identified, appropriately qualified agent is allowed to operate.</w:t>
      </w:r>
    </w:p>
    <w:p>
      <w:pPr>
        <w:pStyle w:val="Heading2"/>
        <w:bidi w:val="0"/>
        <w:jc w:val="left"/>
        <w:rPr/>
      </w:pPr>
      <w:r>
        <w:rPr/>
        <w:t>1. Scope</w:t>
      </w:r>
    </w:p>
    <w:p>
      <w:pPr>
        <w:pStyle w:val="BodyText"/>
        <w:bidi w:val="0"/>
        <w:jc w:val="left"/>
        <w:rPr/>
      </w:pPr>
      <w:r>
        <w:rPr/>
        <w:t>This standard specifies requirements for:</w:t>
      </w:r>
    </w:p>
    <w:p>
      <w:pPr>
        <w:pStyle w:val="BodyText"/>
        <w:numPr>
          <w:ilvl w:val="0"/>
          <w:numId w:val="1"/>
        </w:numPr>
        <w:tabs>
          <w:tab w:val="clear" w:pos="1134"/>
          <w:tab w:val="left" w:pos="709" w:leader="none"/>
        </w:tabs>
        <w:bidi w:val="0"/>
        <w:spacing w:before="0" w:after="0"/>
        <w:ind w:hanging="283" w:left="709"/>
        <w:jc w:val="left"/>
        <w:rPr/>
      </w:pPr>
      <w:r>
        <w:rPr/>
        <w:t xml:space="preserve">a consistent, vendor-neutral agent harness contract </w:t>
      </w:r>
    </w:p>
    <w:p>
      <w:pPr>
        <w:pStyle w:val="BodyText"/>
        <w:numPr>
          <w:ilvl w:val="0"/>
          <w:numId w:val="1"/>
        </w:numPr>
        <w:tabs>
          <w:tab w:val="clear" w:pos="1134"/>
          <w:tab w:val="left" w:pos="709" w:leader="none"/>
        </w:tabs>
        <w:bidi w:val="0"/>
        <w:spacing w:before="0" w:after="0"/>
        <w:ind w:hanging="283" w:left="709"/>
        <w:jc w:val="left"/>
        <w:rPr/>
      </w:pPr>
      <w:r>
        <w:rPr/>
        <w:t xml:space="preserve">authority mediation between humans, agents, tools, and data </w:t>
      </w:r>
    </w:p>
    <w:p>
      <w:pPr>
        <w:pStyle w:val="BodyText"/>
        <w:numPr>
          <w:ilvl w:val="0"/>
          <w:numId w:val="1"/>
        </w:numPr>
        <w:tabs>
          <w:tab w:val="clear" w:pos="1134"/>
          <w:tab w:val="left" w:pos="709" w:leader="none"/>
        </w:tabs>
        <w:bidi w:val="0"/>
        <w:spacing w:before="0" w:after="0"/>
        <w:ind w:hanging="283" w:left="709"/>
        <w:jc w:val="left"/>
        <w:rPr/>
      </w:pPr>
      <w:r>
        <w:rPr/>
        <w:t xml:space="preserve">runtime policy enforcement </w:t>
      </w:r>
    </w:p>
    <w:p>
      <w:pPr>
        <w:pStyle w:val="BodyText"/>
        <w:numPr>
          <w:ilvl w:val="0"/>
          <w:numId w:val="1"/>
        </w:numPr>
        <w:tabs>
          <w:tab w:val="clear" w:pos="1134"/>
          <w:tab w:val="left" w:pos="709" w:leader="none"/>
        </w:tabs>
        <w:bidi w:val="0"/>
        <w:spacing w:before="0" w:after="0"/>
        <w:ind w:hanging="283" w:left="709"/>
        <w:jc w:val="left"/>
        <w:rPr/>
      </w:pPr>
      <w:r>
        <w:rPr/>
        <w:t xml:space="preserve">immutable directive handling </w:t>
      </w:r>
    </w:p>
    <w:p>
      <w:pPr>
        <w:pStyle w:val="BodyText"/>
        <w:numPr>
          <w:ilvl w:val="0"/>
          <w:numId w:val="1"/>
        </w:numPr>
        <w:tabs>
          <w:tab w:val="clear" w:pos="1134"/>
          <w:tab w:val="left" w:pos="709" w:leader="none"/>
        </w:tabs>
        <w:bidi w:val="0"/>
        <w:spacing w:before="0" w:after="0"/>
        <w:ind w:hanging="283" w:left="709"/>
        <w:jc w:val="left"/>
        <w:rPr/>
      </w:pPr>
      <w:r>
        <w:rPr/>
        <w:t xml:space="preserve">tool execution gating </w:t>
      </w:r>
    </w:p>
    <w:p>
      <w:pPr>
        <w:pStyle w:val="BodyText"/>
        <w:numPr>
          <w:ilvl w:val="0"/>
          <w:numId w:val="1"/>
        </w:numPr>
        <w:tabs>
          <w:tab w:val="clear" w:pos="1134"/>
          <w:tab w:val="left" w:pos="709" w:leader="none"/>
        </w:tabs>
        <w:bidi w:val="0"/>
        <w:spacing w:before="0" w:after="0"/>
        <w:ind w:hanging="283" w:left="709"/>
        <w:jc w:val="left"/>
        <w:rPr/>
      </w:pPr>
      <w:r>
        <w:rPr/>
        <w:t xml:space="preserve">provider rate budgeting, backpressure, queueing, and failover handling </w:t>
      </w:r>
    </w:p>
    <w:p>
      <w:pPr>
        <w:pStyle w:val="BodyText"/>
        <w:numPr>
          <w:ilvl w:val="0"/>
          <w:numId w:val="1"/>
        </w:numPr>
        <w:tabs>
          <w:tab w:val="clear" w:pos="1134"/>
          <w:tab w:val="left" w:pos="709" w:leader="none"/>
        </w:tabs>
        <w:bidi w:val="0"/>
        <w:spacing w:before="0" w:after="0"/>
        <w:ind w:hanging="283" w:left="709"/>
        <w:jc w:val="left"/>
        <w:rPr/>
      </w:pPr>
      <w:r>
        <w:rPr/>
        <w:t>human-in-the-loop (</w:t>
      </w:r>
      <w:r>
        <w:rPr>
          <w:rStyle w:val="SourceText"/>
        </w:rPr>
        <w:t>HITL</w:t>
      </w:r>
      <w:r>
        <w:rPr/>
        <w:t xml:space="preserve">) controls </w:t>
      </w:r>
    </w:p>
    <w:p>
      <w:pPr>
        <w:pStyle w:val="BodyText"/>
        <w:numPr>
          <w:ilvl w:val="0"/>
          <w:numId w:val="1"/>
        </w:numPr>
        <w:tabs>
          <w:tab w:val="clear" w:pos="1134"/>
          <w:tab w:val="left" w:pos="709" w:leader="none"/>
        </w:tabs>
        <w:bidi w:val="0"/>
        <w:spacing w:before="0" w:after="0"/>
        <w:ind w:hanging="283" w:left="709"/>
        <w:jc w:val="left"/>
        <w:rPr/>
      </w:pPr>
      <w:r>
        <w:rPr/>
        <w:t xml:space="preserve">qualification-aware autonomy ceilings and regression </w:t>
      </w:r>
    </w:p>
    <w:p>
      <w:pPr>
        <w:pStyle w:val="BodyText"/>
        <w:numPr>
          <w:ilvl w:val="0"/>
          <w:numId w:val="1"/>
        </w:numPr>
        <w:tabs>
          <w:tab w:val="clear" w:pos="1134"/>
          <w:tab w:val="left" w:pos="709" w:leader="none"/>
        </w:tabs>
        <w:bidi w:val="0"/>
        <w:spacing w:before="0" w:after="0"/>
        <w:ind w:hanging="283" w:left="709"/>
        <w:jc w:val="left"/>
        <w:rPr/>
      </w:pPr>
      <w:r>
        <w:rPr/>
        <w:t xml:space="preserve">proactivity controls that cannot widen authority or qualification </w:t>
      </w:r>
    </w:p>
    <w:p>
      <w:pPr>
        <w:pStyle w:val="BodyText"/>
        <w:numPr>
          <w:ilvl w:val="0"/>
          <w:numId w:val="1"/>
        </w:numPr>
        <w:tabs>
          <w:tab w:val="clear" w:pos="1134"/>
          <w:tab w:val="left" w:pos="709" w:leader="none"/>
        </w:tabs>
        <w:bidi w:val="0"/>
        <w:spacing w:before="0" w:after="0"/>
        <w:ind w:hanging="283" w:left="709"/>
        <w:jc w:val="left"/>
        <w:rPr/>
      </w:pPr>
      <w:r>
        <w:rPr/>
        <w:t xml:space="preserve">delegation and escalation </w:t>
      </w:r>
    </w:p>
    <w:p>
      <w:pPr>
        <w:pStyle w:val="BodyText"/>
        <w:numPr>
          <w:ilvl w:val="0"/>
          <w:numId w:val="1"/>
        </w:numPr>
        <w:tabs>
          <w:tab w:val="clear" w:pos="1134"/>
          <w:tab w:val="left" w:pos="709" w:leader="none"/>
        </w:tabs>
        <w:bidi w:val="0"/>
        <w:spacing w:before="0" w:after="0"/>
        <w:ind w:hanging="283" w:left="709"/>
        <w:jc w:val="left"/>
        <w:rPr/>
      </w:pPr>
      <w:r>
        <w:rPr/>
        <w:t xml:space="preserve">memory and context-window governance </w:t>
      </w:r>
    </w:p>
    <w:p>
      <w:pPr>
        <w:pStyle w:val="BodyText"/>
        <w:numPr>
          <w:ilvl w:val="0"/>
          <w:numId w:val="1"/>
        </w:numPr>
        <w:tabs>
          <w:tab w:val="clear" w:pos="1134"/>
          <w:tab w:val="left" w:pos="709" w:leader="none"/>
        </w:tabs>
        <w:bidi w:val="0"/>
        <w:spacing w:before="0" w:after="0"/>
        <w:ind w:hanging="283" w:left="709"/>
        <w:jc w:val="left"/>
        <w:rPr/>
      </w:pPr>
      <w:r>
        <w:rPr/>
        <w:t xml:space="preserve">audit, evidence, and non-repudiation records </w:t>
      </w:r>
    </w:p>
    <w:p>
      <w:pPr>
        <w:pStyle w:val="BodyText"/>
        <w:numPr>
          <w:ilvl w:val="0"/>
          <w:numId w:val="1"/>
        </w:numPr>
        <w:tabs>
          <w:tab w:val="clear" w:pos="1134"/>
          <w:tab w:val="left" w:pos="709" w:leader="none"/>
        </w:tabs>
        <w:bidi w:val="0"/>
        <w:spacing w:before="0" w:after="0"/>
        <w:ind w:hanging="283" w:left="709"/>
        <w:jc w:val="left"/>
        <w:rPr/>
      </w:pPr>
      <w:r>
        <w:rPr/>
        <w:t xml:space="preserve">runtime transparency </w:t>
      </w:r>
    </w:p>
    <w:p>
      <w:pPr>
        <w:pStyle w:val="BodyText"/>
        <w:numPr>
          <w:ilvl w:val="0"/>
          <w:numId w:val="1"/>
        </w:numPr>
        <w:tabs>
          <w:tab w:val="clear" w:pos="1134"/>
          <w:tab w:val="left" w:pos="709" w:leader="none"/>
        </w:tabs>
        <w:bidi w:val="0"/>
        <w:spacing w:before="0" w:after="0"/>
        <w:ind w:hanging="283" w:left="709"/>
        <w:jc w:val="left"/>
        <w:rPr/>
      </w:pPr>
      <w:r>
        <w:rPr/>
        <w:t xml:space="preserve">defenses against fabrication, unsafe narration, and prompt-driven misuse </w:t>
      </w:r>
    </w:p>
    <w:p>
      <w:pPr>
        <w:pStyle w:val="BodyText"/>
        <w:numPr>
          <w:ilvl w:val="0"/>
          <w:numId w:val="1"/>
        </w:numPr>
        <w:tabs>
          <w:tab w:val="clear" w:pos="1134"/>
          <w:tab w:val="left" w:pos="709" w:leader="none"/>
        </w:tabs>
        <w:bidi w:val="0"/>
        <w:ind w:hanging="283" w:left="709"/>
        <w:jc w:val="left"/>
        <w:rPr/>
      </w:pPr>
      <w:r>
        <w:rPr/>
        <w:t xml:space="preserve">minimum evaluation and conformance expectations </w:t>
      </w:r>
    </w:p>
    <w:p>
      <w:pPr>
        <w:pStyle w:val="BodyText"/>
        <w:bidi w:val="0"/>
        <w:jc w:val="left"/>
        <w:rPr/>
      </w:pPr>
      <w:r>
        <w:rPr/>
        <w:t>This standard applies to:</w:t>
      </w:r>
    </w:p>
    <w:p>
      <w:pPr>
        <w:pStyle w:val="BodyText"/>
        <w:numPr>
          <w:ilvl w:val="0"/>
          <w:numId w:val="2"/>
        </w:numPr>
        <w:tabs>
          <w:tab w:val="clear" w:pos="1134"/>
          <w:tab w:val="left" w:pos="709" w:leader="none"/>
        </w:tabs>
        <w:bidi w:val="0"/>
        <w:spacing w:before="0" w:after="0"/>
        <w:ind w:hanging="283" w:left="709"/>
        <w:jc w:val="left"/>
        <w:rPr/>
      </w:pPr>
      <w:r>
        <w:rPr/>
        <w:t xml:space="preserve">single-agent systems </w:t>
      </w:r>
    </w:p>
    <w:p>
      <w:pPr>
        <w:pStyle w:val="BodyText"/>
        <w:numPr>
          <w:ilvl w:val="0"/>
          <w:numId w:val="2"/>
        </w:numPr>
        <w:tabs>
          <w:tab w:val="clear" w:pos="1134"/>
          <w:tab w:val="left" w:pos="709" w:leader="none"/>
        </w:tabs>
        <w:bidi w:val="0"/>
        <w:spacing w:before="0" w:after="0"/>
        <w:ind w:hanging="283" w:left="709"/>
        <w:jc w:val="left"/>
        <w:rPr/>
      </w:pPr>
      <w:r>
        <w:rPr/>
        <w:t xml:space="preserve">orchestrator and specialist agent systems </w:t>
      </w:r>
    </w:p>
    <w:p>
      <w:pPr>
        <w:pStyle w:val="BodyText"/>
        <w:numPr>
          <w:ilvl w:val="0"/>
          <w:numId w:val="2"/>
        </w:numPr>
        <w:tabs>
          <w:tab w:val="clear" w:pos="1134"/>
          <w:tab w:val="left" w:pos="709" w:leader="none"/>
        </w:tabs>
        <w:bidi w:val="0"/>
        <w:spacing w:before="0" w:after="0"/>
        <w:ind w:hanging="283" w:left="709"/>
        <w:jc w:val="left"/>
        <w:rPr/>
      </w:pPr>
      <w:r>
        <w:rPr/>
        <w:t xml:space="preserve">conversational coworker systems </w:t>
      </w:r>
    </w:p>
    <w:p>
      <w:pPr>
        <w:pStyle w:val="BodyText"/>
        <w:numPr>
          <w:ilvl w:val="0"/>
          <w:numId w:val="2"/>
        </w:numPr>
        <w:tabs>
          <w:tab w:val="clear" w:pos="1134"/>
          <w:tab w:val="left" w:pos="709" w:leader="none"/>
        </w:tabs>
        <w:bidi w:val="0"/>
        <w:spacing w:before="0" w:after="0"/>
        <w:ind w:hanging="283" w:left="709"/>
        <w:jc w:val="left"/>
        <w:rPr/>
      </w:pPr>
      <w:r>
        <w:rPr/>
        <w:t xml:space="preserve">tool-using coding, administrative, analytical, and workflow agents </w:t>
      </w:r>
    </w:p>
    <w:p>
      <w:pPr>
        <w:pStyle w:val="BodyText"/>
        <w:numPr>
          <w:ilvl w:val="0"/>
          <w:numId w:val="2"/>
        </w:numPr>
        <w:tabs>
          <w:tab w:val="clear" w:pos="1134"/>
          <w:tab w:val="left" w:pos="709" w:leader="none"/>
        </w:tabs>
        <w:bidi w:val="0"/>
        <w:ind w:hanging="283" w:left="709"/>
        <w:jc w:val="left"/>
        <w:rPr/>
      </w:pPr>
      <w:r>
        <w:rPr/>
        <w:t xml:space="preserve">enterprise-private and public-facing agent runtimes </w:t>
      </w:r>
    </w:p>
    <w:p>
      <w:pPr>
        <w:pStyle w:val="BodyText"/>
        <w:bidi w:val="0"/>
        <w:jc w:val="left"/>
        <w:rPr/>
      </w:pPr>
      <w:r>
        <w:rPr/>
        <w:t>This standard does not define:</w:t>
      </w:r>
    </w:p>
    <w:p>
      <w:pPr>
        <w:pStyle w:val="BodyText"/>
        <w:numPr>
          <w:ilvl w:val="0"/>
          <w:numId w:val="3"/>
        </w:numPr>
        <w:tabs>
          <w:tab w:val="clear" w:pos="1134"/>
          <w:tab w:val="left" w:pos="709" w:leader="none"/>
        </w:tabs>
        <w:bidi w:val="0"/>
        <w:spacing w:before="0" w:after="0"/>
        <w:ind w:hanging="283" w:left="709"/>
        <w:jc w:val="left"/>
        <w:rPr/>
      </w:pPr>
      <w:r>
        <w:rPr/>
        <w:t xml:space="preserve">global namespace governance for public agent identifiers </w:t>
      </w:r>
    </w:p>
    <w:p>
      <w:pPr>
        <w:pStyle w:val="BodyText"/>
        <w:numPr>
          <w:ilvl w:val="0"/>
          <w:numId w:val="3"/>
        </w:numPr>
        <w:tabs>
          <w:tab w:val="clear" w:pos="1134"/>
          <w:tab w:val="left" w:pos="709" w:leader="none"/>
        </w:tabs>
        <w:bidi w:val="0"/>
        <w:spacing w:before="0" w:after="0"/>
        <w:ind w:hanging="283" w:left="709"/>
        <w:jc w:val="left"/>
        <w:rPr/>
      </w:pPr>
      <w:r>
        <w:rPr/>
        <w:t xml:space="preserve">public issuer accreditation models </w:t>
      </w:r>
    </w:p>
    <w:p>
      <w:pPr>
        <w:pStyle w:val="BodyText"/>
        <w:numPr>
          <w:ilvl w:val="0"/>
          <w:numId w:val="3"/>
        </w:numPr>
        <w:tabs>
          <w:tab w:val="clear" w:pos="1134"/>
          <w:tab w:val="left" w:pos="709" w:leader="none"/>
        </w:tabs>
        <w:bidi w:val="0"/>
        <w:spacing w:before="0" w:after="0"/>
        <w:ind w:hanging="283" w:left="709"/>
        <w:jc w:val="left"/>
        <w:rPr/>
      </w:pPr>
      <w:r>
        <w:rPr/>
        <w:t xml:space="preserve">external identity and badging formats </w:t>
      </w:r>
    </w:p>
    <w:p>
      <w:pPr>
        <w:pStyle w:val="BodyText"/>
        <w:numPr>
          <w:ilvl w:val="0"/>
          <w:numId w:val="3"/>
        </w:numPr>
        <w:tabs>
          <w:tab w:val="clear" w:pos="1134"/>
          <w:tab w:val="left" w:pos="709" w:leader="none"/>
        </w:tabs>
        <w:bidi w:val="0"/>
        <w:ind w:hanging="283" w:left="709"/>
        <w:jc w:val="left"/>
        <w:rPr/>
      </w:pPr>
      <w:r>
        <w:rPr/>
        <w:t xml:space="preserve">job definitions, qualification schemes, and job-specific competence assertions </w:t>
      </w:r>
    </w:p>
    <w:p>
      <w:pPr>
        <w:pStyle w:val="BodyText"/>
        <w:bidi w:val="0"/>
        <w:jc w:val="left"/>
        <w:rPr/>
      </w:pPr>
      <w:r>
        <w:rPr/>
        <w:t xml:space="preserve">Those concerns are addressed by </w:t>
      </w:r>
      <w:r>
        <w:rPr>
          <w:rStyle w:val="SourceText"/>
        </w:rPr>
        <w:t>GAID</w:t>
      </w:r>
      <w:r>
        <w:rPr/>
        <w:t xml:space="preserve"> and the companion </w:t>
      </w:r>
      <w:hyperlink r:id="rId2">
        <w:r>
          <w:rPr>
            <w:rStyle w:val="Hyperlink"/>
          </w:rPr>
          <w:t>Job-Specific Intelligence (</w:t>
        </w:r>
        <w:r>
          <w:rPr>
            <w:rStyle w:val="Hyperlink"/>
            <w:rFonts w:ascii="Liberation Mono" w:hAnsi="Liberation Mono" w:eastAsia="Liberation Mono" w:cs="Liberation Mono"/>
          </w:rPr>
          <w:t>TAK-JSI</w:t>
        </w:r>
        <w:r>
          <w:rPr>
            <w:rStyle w:val="Hyperlink"/>
          </w:rPr>
          <w:t>) profile</w:t>
        </w:r>
      </w:hyperlink>
      <w:r>
        <w:rPr/>
        <w:t>.</w:t>
      </w:r>
    </w:p>
    <w:p>
      <w:pPr>
        <w:pStyle w:val="Heading3"/>
        <w:bidi w:val="0"/>
        <w:jc w:val="left"/>
        <w:rPr/>
      </w:pPr>
      <w:r>
        <w:rPr/>
        <w:t>1.1 AI-coworker operating reference architecture</w:t>
      </w:r>
    </w:p>
    <w:p>
      <w:pPr>
        <w:pStyle w:val="BodyText"/>
        <w:bidi w:val="0"/>
        <w:jc w:val="left"/>
        <w:rPr/>
      </w:pPr>
      <w:r>
        <w:rPr/>
        <w:t xml:space="preserve">The following implementation-neutral view places the TAK runtime boundary inside the wider AI-coworker operating system. It is independently derived from DPF's TAK, GAID, TAK-JSI, DigitalProduct, and work-allocation semantics in response to the bounded operator direction recorded as </w:t>
      </w:r>
      <w:r>
        <w:rPr>
          <w:rStyle w:val="SourceText"/>
        </w:rPr>
        <w:t>OP-CSDM-02</w:t>
      </w:r>
      <w:r>
        <w:rPr/>
        <w:t xml:space="preserve"> in the </w:t>
      </w:r>
      <w:r>
        <w:fldChar w:fldCharType="begin"/>
      </w:r>
      <w:r>
        <w:rPr>
          <w:rStyle w:val="Hyperlink"/>
        </w:rPr>
        <w:instrText xml:space="preserve"> HYPERLINK "../in/four-portfolio-archetype-ai-workforce-operating-standard.md" \l "20-research-and-source-register"</w:instrText>
      </w:r>
      <w:r>
        <w:rPr>
          <w:rStyle w:val="Hyperlink"/>
        </w:rPr>
        <w:fldChar w:fldCharType="separate"/>
      </w:r>
      <w:r>
        <w:rPr>
          <w:rStyle w:val="Hyperlink"/>
        </w:rPr>
        <w:t>PAAW source register</w:t>
      </w:r>
      <w:r>
        <w:rPr>
          <w:rStyle w:val="Hyperlink"/>
        </w:rPr>
        <w:fldChar w:fldCharType="end"/>
      </w:r>
      <w:r>
        <w:rPr/>
        <w:t xml:space="preserve">. ServiceNow's current </w:t>
      </w:r>
      <w:hyperlink r:id="rId3">
        <w:r>
          <w:rPr>
            <w:rStyle w:val="Hyperlink"/>
          </w:rPr>
          <w:t>Common Service Data Model (CSDM) shapes</w:t>
        </w:r>
      </w:hyperlink>
      <w:r>
        <w:rPr/>
        <w:t xml:space="preserve"> page, identified by </w:t>
      </w:r>
      <w:r>
        <w:rPr>
          <w:rStyle w:val="SourceText"/>
        </w:rPr>
        <w:t>SCIT-SNOW-AICT-GUIDANCE</w:t>
      </w:r>
      <w:r>
        <w:rPr/>
        <w:t xml:space="preserve">, is a </w:t>
      </w:r>
      <w:r>
        <w:rPr>
          <w:rStyle w:val="SourceText"/>
        </w:rPr>
        <w:t>reference-only</w:t>
      </w:r>
      <w:r>
        <w:rPr/>
        <w:t xml:space="preserve"> implementation target for the source-validated </w:t>
      </w:r>
      <w:r>
        <w:fldChar w:fldCharType="begin"/>
      </w:r>
      <w:r>
        <w:rPr>
          <w:rStyle w:val="Hyperlink"/>
        </w:rPr>
        <w:instrText xml:space="preserve"> HYPERLINK "../in/four-portfolio-archetype-ai-workforce-operating-standard.md" \l "134-source-validated-csdm-5-and-aict-bridge"</w:instrText>
      </w:r>
      <w:r>
        <w:rPr>
          <w:rStyle w:val="Hyperlink"/>
        </w:rPr>
        <w:fldChar w:fldCharType="separate"/>
      </w:r>
      <w:r>
        <w:rPr>
          <w:rStyle w:val="Hyperlink"/>
        </w:rPr>
        <w:t>PAAW Section 13.4 bridge</w:t>
      </w:r>
      <w:r>
        <w:rPr>
          <w:rStyle w:val="Hyperlink"/>
        </w:rPr>
        <w:fldChar w:fldCharType="end"/>
      </w:r>
      <w:r>
        <w:rPr/>
        <w:t>; its figure, terminology, and vendor data model were not copied into this view. A concrete ServiceNow adapter still requires release/plugin/dictionary and relationship fingerprints.</w:t>
      </w:r>
    </w:p>
    <w:p>
      <w:pPr>
        <w:pStyle w:val="BodyText"/>
        <w:bidi w:val="0"/>
        <w:jc w:val="left"/>
        <w:rPr/>
      </w:pPr>
      <w:r>
        <w:rPr/>
        <w:drawing>
          <wp:inline distT="0" distB="0" distL="0" distR="0">
            <wp:extent cx="29870400" cy="21831300"/>
            <wp:effectExtent l="0" t="0" r="0" b="0"/>
            <wp:docPr id="1" name="Image1" descr="Diagr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Diagram 1"/>
                    <pic:cNvPicPr>
                      <a:picLocks noChangeAspect="1" noChangeArrowheads="1"/>
                    </pic:cNvPicPr>
                  </pic:nvPicPr>
                  <pic:blipFill>
                    <a:blip r:embed="rId4"/>
                    <a:stretch>
                      <a:fillRect/>
                    </a:stretch>
                  </pic:blipFill>
                  <pic:spPr bwMode="auto">
                    <a:xfrm>
                      <a:off x="0" y="0"/>
                      <a:ext cx="29870400" cy="21831300"/>
                    </a:xfrm>
                    <a:prstGeom prst="rect">
                      <a:avLst/>
                    </a:prstGeom>
                    <a:noFill/>
                  </pic:spPr>
                </pic:pic>
              </a:graphicData>
            </a:graphic>
          </wp:inline>
        </w:drawing>
      </w:r>
    </w:p>
    <w:p>
      <w:pPr>
        <w:pStyle w:val="BodyText"/>
        <w:bidi w:val="0"/>
        <w:jc w:val="left"/>
        <w:rPr/>
      </w:pPr>
      <w:r>
        <w:rPr/>
        <w:t xml:space="preserve">The fan-in is intentional: identity, operating profile, qualification, oversight, skills, tools, services, gateways, models, directives, data, and runtime state are independent control inputs to </w:t>
      </w:r>
      <w:r>
        <w:rPr>
          <w:rStyle w:val="SourceText"/>
        </w:rPr>
        <w:t>AUTH</w:t>
      </w:r>
      <w:r>
        <w:rPr/>
        <w:t xml:space="preserve">, not a linear transformation chain. The consequential-action path crosses </w:t>
      </w:r>
      <w:r>
        <w:rPr>
          <w:rStyle w:val="SourceText"/>
        </w:rPr>
        <w:t>AUTH</w:t>
      </w:r>
      <w:r>
        <w:rPr/>
        <w:t xml:space="preserve"> and produces attributable evidence. TAK owns the authority decision, runtime gate, delegation, and execution-receipt semantics. GAID owns the AgentSubject and operating-profile identity; TAK-JSI owns job/activity qualification; the </w:t>
      </w:r>
      <w:hyperlink r:id="rId5">
        <w:r>
          <w:rPr>
            <w:rStyle w:val="Hyperlink"/>
          </w:rPr>
          <w:t>Portfolio Aligned Agent and Workforce Operating Standard</w:t>
        </w:r>
      </w:hyperlink>
      <w:r>
        <w:rPr/>
        <w:t xml:space="preserve"> owns the Product, service, work, and lifecycle bridge. Offering, accepted agreement, entitlement, usage, asset, package, deployment, product instance, and service instance remain separate identities. Context nodes in this view do not transfer that ownership to TAK.</w:t>
      </w:r>
    </w:p>
    <w:p>
      <w:pPr>
        <w:pStyle w:val="Heading3"/>
        <w:bidi w:val="0"/>
        <w:jc w:val="left"/>
        <w:rPr/>
      </w:pPr>
      <w:r>
        <w:rPr/>
        <w:t>1.2 AI-coworker lifecycle and architecture view</w:t>
      </w:r>
    </w:p>
    <w:p>
      <w:pPr>
        <w:pStyle w:val="BodyText"/>
        <w:bidi w:val="0"/>
        <w:jc w:val="left"/>
        <w:rPr/>
      </w:pPr>
      <w:r>
        <w:rPr/>
        <w:t xml:space="preserve">The operator direction in </w:t>
      </w:r>
      <w:r>
        <w:rPr>
          <w:rStyle w:val="SourceText"/>
        </w:rPr>
        <w:t>OP-CSDM-02</w:t>
      </w:r>
      <w:r>
        <w:rPr/>
        <w:t xml:space="preserve"> also calls for an implementation-neutral lifecycle picture. The view below is DPF's own expression. It separates the PAAW DigitalProduct lifecycle-state axis from the IT4IT 3.0.1 seven-stream value network, architecture scope, and governed-entity maturity. The five product states are not aliases for IT4IT streams, and the seven streams are not a mandatory sequence. This is the lifecycle companion to the runtime stack above, not a vendor data model or a claim that every state or stream is executed by TAK.</w:t>
      </w:r>
    </w:p>
    <w:p>
      <w:pPr>
        <w:pStyle w:val="BodyText"/>
        <w:bidi w:val="0"/>
        <w:jc w:val="left"/>
        <w:rPr/>
      </w:pPr>
      <w:r>
        <w:rPr/>
        <w:drawing>
          <wp:inline distT="0" distB="0" distL="0" distR="0">
            <wp:extent cx="29870400" cy="22821900"/>
            <wp:effectExtent l="0" t="0" r="0" b="0"/>
            <wp:docPr id="2" name="Image2" descr="Diagr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Diagram 2"/>
                    <pic:cNvPicPr>
                      <a:picLocks noChangeAspect="1" noChangeArrowheads="1"/>
                    </pic:cNvPicPr>
                  </pic:nvPicPr>
                  <pic:blipFill>
                    <a:blip r:embed="rId6"/>
                    <a:stretch>
                      <a:fillRect/>
                    </a:stretch>
                  </pic:blipFill>
                  <pic:spPr bwMode="auto">
                    <a:xfrm>
                      <a:off x="0" y="0"/>
                      <a:ext cx="29870400" cy="22821900"/>
                    </a:xfrm>
                    <a:prstGeom prst="rect">
                      <a:avLst/>
                    </a:prstGeom>
                    <a:noFill/>
                  </pic:spPr>
                </pic:pic>
              </a:graphicData>
            </a:graphic>
          </wp:inline>
        </w:drawing>
      </w:r>
    </w:p>
    <w:p>
      <w:pPr>
        <w:pStyle w:val="BodyText"/>
        <w:bidi w:val="0"/>
        <w:jc w:val="left"/>
        <w:rPr/>
      </w:pPr>
      <w:r>
        <w:rPr/>
        <w:t>The solid five-state path governs Product lifecycle. The hub-and-spoke network preserves all seven IT4IT streams without inventing a process order; dotted state-to-stream edges identify common touchpoints, not exclusive ownership or mandatory sequencing. Architecture bands overlap both axes:</w:t>
      </w:r>
    </w:p>
    <w:tbl>
      <w:tblPr>
        <w:tblW w:w="22054" w:type="dxa"/>
        <w:jc w:val="left"/>
        <w:tblInd w:w="0" w:type="dxa"/>
        <w:tblLayout w:type="fixed"/>
        <w:tblCellMar>
          <w:top w:w="28" w:type="dxa"/>
          <w:left w:w="28" w:type="dxa"/>
          <w:bottom w:w="28" w:type="dxa"/>
          <w:right w:w="28" w:type="dxa"/>
        </w:tblCellMar>
      </w:tblPr>
      <w:tblGrid>
        <w:gridCol w:w="4570"/>
        <w:gridCol w:w="12378"/>
        <w:gridCol w:w="5106"/>
      </w:tblGrid>
      <w:tr>
        <w:trPr>
          <w:tblHeader w:val="true"/>
        </w:trPr>
        <w:tc>
          <w:tcPr>
            <w:tcW w:w="4570" w:type="dxa"/>
            <w:tcBorders/>
            <w:vAlign w:val="center"/>
          </w:tcPr>
          <w:p>
            <w:pPr>
              <w:pStyle w:val="TableHeading"/>
              <w:suppressLineNumbers/>
              <w:bidi w:val="0"/>
              <w:spacing w:before="0" w:after="283"/>
              <w:jc w:val="center"/>
              <w:rPr/>
            </w:pPr>
            <w:r>
              <w:rPr/>
              <w:t>Architecture band</w:t>
            </w:r>
          </w:p>
        </w:tc>
        <w:tc>
          <w:tcPr>
            <w:tcW w:w="12378" w:type="dxa"/>
            <w:tcBorders/>
            <w:vAlign w:val="center"/>
          </w:tcPr>
          <w:p>
            <w:pPr>
              <w:pStyle w:val="TableHeading"/>
              <w:suppressLineNumbers/>
              <w:bidi w:val="0"/>
              <w:spacing w:before="0" w:after="283"/>
              <w:jc w:val="center"/>
              <w:rPr/>
            </w:pPr>
            <w:r>
              <w:rPr/>
              <w:t>PAAW product-lifecycle coverage</w:t>
            </w:r>
          </w:p>
        </w:tc>
        <w:tc>
          <w:tcPr>
            <w:tcW w:w="5106" w:type="dxa"/>
            <w:tcBorders/>
            <w:vAlign w:val="center"/>
          </w:tcPr>
          <w:p>
            <w:pPr>
              <w:pStyle w:val="TableHeading"/>
              <w:suppressLineNumbers/>
              <w:bidi w:val="0"/>
              <w:spacing w:before="0" w:after="283"/>
              <w:jc w:val="center"/>
              <w:rPr/>
            </w:pPr>
            <w:r>
              <w:rPr/>
              <w:t>Typical IT4IT network touchpoints</w:t>
            </w:r>
          </w:p>
        </w:tc>
      </w:tr>
      <w:tr>
        <w:trPr/>
        <w:tc>
          <w:tcPr>
            <w:tcW w:w="4570" w:type="dxa"/>
            <w:tcBorders/>
            <w:vAlign w:val="center"/>
          </w:tcPr>
          <w:p>
            <w:pPr>
              <w:pStyle w:val="TableContents"/>
              <w:bidi w:val="0"/>
              <w:spacing w:before="0" w:after="283"/>
              <w:jc w:val="left"/>
              <w:rPr/>
            </w:pPr>
            <w:r>
              <w:rPr/>
              <w:t>strategy and business model</w:t>
            </w:r>
          </w:p>
        </w:tc>
        <w:tc>
          <w:tcPr>
            <w:tcW w:w="12378" w:type="dxa"/>
            <w:tcBorders/>
            <w:vAlign w:val="center"/>
          </w:tcPr>
          <w:p>
            <w:pPr>
              <w:pStyle w:val="TableContents"/>
              <w:bidi w:val="0"/>
              <w:spacing w:before="0" w:after="283"/>
              <w:jc w:val="left"/>
              <w:rPr/>
            </w:pPr>
            <w:r>
              <w:rPr/>
              <w:t>Idea through Retire; stakeholder value, Outcomes, and four-portfolio decisions</w:t>
            </w:r>
          </w:p>
        </w:tc>
        <w:tc>
          <w:tcPr>
            <w:tcW w:w="5106" w:type="dxa"/>
            <w:tcBorders/>
            <w:vAlign w:val="center"/>
          </w:tcPr>
          <w:p>
            <w:pPr>
              <w:pStyle w:val="TableContents"/>
              <w:bidi w:val="0"/>
              <w:spacing w:before="0" w:after="283"/>
              <w:jc w:val="left"/>
              <w:rPr/>
            </w:pPr>
            <w:r>
              <w:rPr/>
              <w:t>Evaluate, Explore, plus Consume/Operate feedback</w:t>
            </w:r>
          </w:p>
        </w:tc>
      </w:tr>
      <w:tr>
        <w:trPr/>
        <w:tc>
          <w:tcPr>
            <w:tcW w:w="4570" w:type="dxa"/>
            <w:tcBorders/>
            <w:vAlign w:val="center"/>
          </w:tcPr>
          <w:p>
            <w:pPr>
              <w:pStyle w:val="TableContents"/>
              <w:bidi w:val="0"/>
              <w:spacing w:before="0" w:after="283"/>
              <w:jc w:val="left"/>
              <w:rPr/>
            </w:pPr>
            <w:r>
              <w:rPr/>
              <w:t>business operational architecture</w:t>
            </w:r>
          </w:p>
        </w:tc>
        <w:tc>
          <w:tcPr>
            <w:tcW w:w="12378" w:type="dxa"/>
            <w:tcBorders/>
            <w:vAlign w:val="center"/>
          </w:tcPr>
          <w:p>
            <w:pPr>
              <w:pStyle w:val="TableContents"/>
              <w:bidi w:val="0"/>
              <w:spacing w:before="0" w:after="283"/>
              <w:jc w:val="left"/>
              <w:rPr/>
            </w:pPr>
            <w:r>
              <w:rPr/>
              <w:t>Evaluate through Operate, with retirement impact analysis</w:t>
            </w:r>
          </w:p>
        </w:tc>
        <w:tc>
          <w:tcPr>
            <w:tcW w:w="5106" w:type="dxa"/>
            <w:tcBorders/>
            <w:vAlign w:val="center"/>
          </w:tcPr>
          <w:p>
            <w:pPr>
              <w:pStyle w:val="TableContents"/>
              <w:bidi w:val="0"/>
              <w:spacing w:before="0" w:after="283"/>
              <w:jc w:val="left"/>
              <w:rPr/>
            </w:pPr>
            <w:r>
              <w:rPr/>
              <w:t>Explore, Consume, Operate</w:t>
            </w:r>
          </w:p>
        </w:tc>
      </w:tr>
      <w:tr>
        <w:trPr/>
        <w:tc>
          <w:tcPr>
            <w:tcW w:w="4570" w:type="dxa"/>
            <w:tcBorders/>
            <w:vAlign w:val="center"/>
          </w:tcPr>
          <w:p>
            <w:pPr>
              <w:pStyle w:val="TableContents"/>
              <w:bidi w:val="0"/>
              <w:spacing w:before="0" w:after="283"/>
              <w:jc w:val="left"/>
              <w:rPr/>
            </w:pPr>
            <w:r>
              <w:rPr/>
              <w:t>solution architecture</w:t>
            </w:r>
          </w:p>
        </w:tc>
        <w:tc>
          <w:tcPr>
            <w:tcW w:w="12378" w:type="dxa"/>
            <w:tcBorders/>
            <w:vAlign w:val="center"/>
          </w:tcPr>
          <w:p>
            <w:pPr>
              <w:pStyle w:val="TableContents"/>
              <w:bidi w:val="0"/>
              <w:spacing w:before="0" w:after="283"/>
              <w:jc w:val="left"/>
              <w:rPr/>
            </w:pPr>
            <w:r>
              <w:rPr/>
              <w:t>Evaluate through Operate; design, releases, assets, packages, dependencies, security, and deployment topology</w:t>
            </w:r>
          </w:p>
        </w:tc>
        <w:tc>
          <w:tcPr>
            <w:tcW w:w="5106" w:type="dxa"/>
            <w:tcBorders/>
            <w:vAlign w:val="center"/>
          </w:tcPr>
          <w:p>
            <w:pPr>
              <w:pStyle w:val="TableContents"/>
              <w:bidi w:val="0"/>
              <w:spacing w:before="0" w:after="283"/>
              <w:jc w:val="left"/>
              <w:rPr/>
            </w:pPr>
            <w:r>
              <w:rPr/>
              <w:t>Explore, Integrate, Deploy, Operate</w:t>
            </w:r>
          </w:p>
        </w:tc>
      </w:tr>
      <w:tr>
        <w:trPr/>
        <w:tc>
          <w:tcPr>
            <w:tcW w:w="4570" w:type="dxa"/>
            <w:tcBorders/>
            <w:vAlign w:val="center"/>
          </w:tcPr>
          <w:p>
            <w:pPr>
              <w:pStyle w:val="TableContents"/>
              <w:bidi w:val="0"/>
              <w:spacing w:before="0" w:after="283"/>
              <w:jc w:val="left"/>
              <w:rPr/>
            </w:pPr>
            <w:r>
              <w:rPr/>
              <w:t>service, engagement, sales, and support model</w:t>
            </w:r>
          </w:p>
        </w:tc>
        <w:tc>
          <w:tcPr>
            <w:tcW w:w="12378" w:type="dxa"/>
            <w:tcBorders/>
            <w:vAlign w:val="center"/>
          </w:tcPr>
          <w:p>
            <w:pPr>
              <w:pStyle w:val="TableContents"/>
              <w:bidi w:val="0"/>
              <w:spacing w:before="0" w:after="283"/>
              <w:jc w:val="left"/>
              <w:rPr/>
            </w:pPr>
            <w:r>
              <w:rPr/>
              <w:t>Build through Retire; ServiceDefinitions, Offerings, agreements, entitlements, service instances, support, and usage</w:t>
            </w:r>
          </w:p>
        </w:tc>
        <w:tc>
          <w:tcPr>
            <w:tcW w:w="5106" w:type="dxa"/>
            <w:tcBorders/>
            <w:vAlign w:val="center"/>
          </w:tcPr>
          <w:p>
            <w:pPr>
              <w:pStyle w:val="TableContents"/>
              <w:bidi w:val="0"/>
              <w:spacing w:before="0" w:after="283"/>
              <w:jc w:val="left"/>
              <w:rPr/>
            </w:pPr>
            <w:r>
              <w:rPr/>
              <w:t>Deploy, Release, Consume, Operate</w:t>
            </w:r>
          </w:p>
        </w:tc>
      </w:tr>
      <w:tr>
        <w:trPr/>
        <w:tc>
          <w:tcPr>
            <w:tcW w:w="4570" w:type="dxa"/>
            <w:tcBorders/>
            <w:vAlign w:val="center"/>
          </w:tcPr>
          <w:p>
            <w:pPr>
              <w:pStyle w:val="TableContents"/>
              <w:bidi w:val="0"/>
              <w:spacing w:before="0" w:after="283"/>
              <w:jc w:val="left"/>
              <w:rPr/>
            </w:pPr>
            <w:r>
              <w:rPr/>
              <w:t>foundation</w:t>
            </w:r>
          </w:p>
        </w:tc>
        <w:tc>
          <w:tcPr>
            <w:tcW w:w="12378" w:type="dxa"/>
            <w:tcBorders/>
            <w:vAlign w:val="center"/>
          </w:tcPr>
          <w:p>
            <w:pPr>
              <w:pStyle w:val="TableContents"/>
              <w:bidi w:val="0"/>
              <w:spacing w:before="0" w:after="283"/>
              <w:jc w:val="left"/>
              <w:rPr/>
            </w:pPr>
            <w:r>
              <w:rPr/>
              <w:t>every state; Organization/Principal/GAID identity, TAK-JSI qualification, vocabulary, data, controls, provenance, and evidence</w:t>
            </w:r>
          </w:p>
        </w:tc>
        <w:tc>
          <w:tcPr>
            <w:tcW w:w="5106" w:type="dxa"/>
            <w:tcBorders/>
            <w:vAlign w:val="center"/>
          </w:tcPr>
          <w:p>
            <w:pPr>
              <w:pStyle w:val="TableContents"/>
              <w:bidi w:val="0"/>
              <w:spacing w:before="0" w:after="283"/>
              <w:jc w:val="left"/>
              <w:rPr/>
            </w:pPr>
            <w:r>
              <w:rPr/>
              <w:t>all seven streams as applicable</w:t>
            </w:r>
          </w:p>
        </w:tc>
      </w:tr>
    </w:tbl>
    <w:p>
      <w:pPr>
        <w:pStyle w:val="BodyText"/>
        <w:bidi w:val="0"/>
        <w:jc w:val="left"/>
        <w:rPr/>
      </w:pPr>
      <w:r>
        <w:rPr/>
        <w:t xml:space="preserve">Within the Idea/Evaluate/Build/Operate/Retire state axis, Product lifecycle state </w:t>
      </w:r>
      <w:r>
        <w:rPr>
          <w:rStyle w:val="Strong"/>
        </w:rPr>
        <w:t>MUST</w:t>
      </w:r>
      <w:r>
        <w:rPr/>
        <w:t xml:space="preserve"> separately represent pilot, promotion, suspension, end-of-support, retirement, and decommissioning where applicable; </w:t>
      </w:r>
      <w:r>
        <w:rPr>
          <w:rStyle w:val="SourceText"/>
        </w:rPr>
        <w:t>AIProductOperatingBinding.bindingState</w:t>
      </w:r>
      <w:r>
        <w:rPr/>
        <w:t xml:space="preserve"> does not substitute for Product, release, asset, deployment, instance, service, or Offering state. An IT4IT stream position does not substitute for a Product state. A discovered operational record creates provisional typed projections and Gaps only; discovery </w:t>
      </w:r>
      <w:r>
        <w:rPr>
          <w:rStyle w:val="Strong"/>
        </w:rPr>
        <w:t>MUST NOT</w:t>
      </w:r>
      <w:r>
        <w:rPr/>
        <w:t xml:space="preserve"> synthesize a Product definition, release, or GAID subject identity.</w:t>
      </w:r>
    </w:p>
    <w:p>
      <w:pPr>
        <w:pStyle w:val="BodyText"/>
        <w:bidi w:val="0"/>
        <w:jc w:val="left"/>
        <w:rPr/>
      </w:pPr>
      <w:r>
        <w:rPr/>
        <w:t>PAAW owns the Product, portfolio, work, service, and AIProductOperatingBinding semantics; GAID owns the enduring subject; TAK-JSI owns qualification; TAK owns the action-time authority, delegation, execution, and receipt boundary in Consume/Operate. An AI Agent record, design, release, asset, package, deployment, product instance, service instance, AgentSubject, Offering, agreement, entitlement, usage, and WorkAssignment are therefore related but never interchangeable.</w:t>
      </w:r>
    </w:p>
    <w:p>
      <w:pPr>
        <w:pStyle w:val="Heading2"/>
        <w:bidi w:val="0"/>
        <w:jc w:val="left"/>
        <w:rPr/>
      </w:pPr>
      <w:r>
        <w:rPr/>
        <w:t>2. Conformance</w:t>
      </w:r>
    </w:p>
    <w:p>
      <w:pPr>
        <w:pStyle w:val="BodyText"/>
        <w:bidi w:val="0"/>
        <w:jc w:val="left"/>
        <w:rPr/>
      </w:pPr>
      <w:r>
        <w:rPr/>
        <w:t xml:space="preserve">An implementation conforms to this standard only if it satisfies all requirements identified as </w:t>
      </w:r>
      <w:r>
        <w:rPr>
          <w:rStyle w:val="SourceText"/>
        </w:rPr>
        <w:t>MUST</w:t>
      </w:r>
      <w:r>
        <w:rPr/>
        <w:t xml:space="preserve"> for its claimed conformance profile.</w:t>
      </w:r>
    </w:p>
    <w:p>
      <w:pPr>
        <w:pStyle w:val="BodyText"/>
        <w:bidi w:val="0"/>
        <w:jc w:val="left"/>
        <w:rPr/>
      </w:pPr>
      <w:r>
        <w:rPr/>
        <w:t>This standard defines three conformance profiles:</w:t>
      </w:r>
    </w:p>
    <w:p>
      <w:pPr>
        <w:pStyle w:val="BodyText"/>
        <w:numPr>
          <w:ilvl w:val="0"/>
          <w:numId w:val="4"/>
        </w:numPr>
        <w:tabs>
          <w:tab w:val="clear" w:pos="1134"/>
          <w:tab w:val="left" w:pos="709" w:leader="none"/>
        </w:tabs>
        <w:bidi w:val="0"/>
        <w:spacing w:before="0" w:after="0"/>
        <w:ind w:hanging="283" w:left="709"/>
        <w:jc w:val="left"/>
        <w:rPr/>
      </w:pPr>
      <w:r>
        <w:rPr>
          <w:rStyle w:val="SourceText"/>
        </w:rPr>
        <w:t>TAK-Basic</w:t>
      </w:r>
      <w:r>
        <w:rPr/>
        <w:t xml:space="preserve"> </w:t>
      </w:r>
    </w:p>
    <w:p>
      <w:pPr>
        <w:pStyle w:val="BodyText"/>
        <w:numPr>
          <w:ilvl w:val="0"/>
          <w:numId w:val="4"/>
        </w:numPr>
        <w:tabs>
          <w:tab w:val="clear" w:pos="1134"/>
          <w:tab w:val="left" w:pos="709" w:leader="none"/>
        </w:tabs>
        <w:bidi w:val="0"/>
        <w:spacing w:before="0" w:after="0"/>
        <w:ind w:hanging="283" w:left="709"/>
        <w:jc w:val="left"/>
        <w:rPr/>
      </w:pPr>
      <w:r>
        <w:rPr>
          <w:rStyle w:val="SourceText"/>
        </w:rPr>
        <w:t>TAK-Managed</w:t>
      </w:r>
      <w:r>
        <w:rPr/>
        <w:t xml:space="preserve"> </w:t>
      </w:r>
    </w:p>
    <w:p>
      <w:pPr>
        <w:pStyle w:val="BodyText"/>
        <w:numPr>
          <w:ilvl w:val="0"/>
          <w:numId w:val="4"/>
        </w:numPr>
        <w:tabs>
          <w:tab w:val="clear" w:pos="1134"/>
          <w:tab w:val="left" w:pos="709" w:leader="none"/>
        </w:tabs>
        <w:bidi w:val="0"/>
        <w:ind w:hanging="283" w:left="709"/>
        <w:jc w:val="left"/>
        <w:rPr/>
      </w:pPr>
      <w:r>
        <w:rPr>
          <w:rStyle w:val="SourceText"/>
        </w:rPr>
        <w:t>TAK-Assured</w:t>
      </w:r>
      <w:r>
        <w:rPr/>
        <w:t xml:space="preserve"> </w:t>
      </w:r>
    </w:p>
    <w:p>
      <w:pPr>
        <w:pStyle w:val="BodyText"/>
        <w:bidi w:val="0"/>
        <w:jc w:val="left"/>
        <w:rPr/>
      </w:pPr>
      <w:r>
        <w:rPr/>
        <w:t>An implementation:</w:t>
      </w:r>
    </w:p>
    <w:p>
      <w:pPr>
        <w:pStyle w:val="BodyText"/>
        <w:numPr>
          <w:ilvl w:val="0"/>
          <w:numId w:val="5"/>
        </w:numPr>
        <w:tabs>
          <w:tab w:val="clear" w:pos="1134"/>
          <w:tab w:val="left" w:pos="709" w:leader="none"/>
        </w:tabs>
        <w:bidi w:val="0"/>
        <w:spacing w:before="0" w:after="0"/>
        <w:ind w:hanging="283" w:left="709"/>
        <w:jc w:val="left"/>
        <w:rPr/>
      </w:pPr>
      <w:r>
        <w:rPr>
          <w:rStyle w:val="SourceText"/>
        </w:rPr>
        <w:t>MUST</w:t>
      </w:r>
      <w:r>
        <w:rPr/>
        <w:t xml:space="preserve"> declare the highest conformance profile it claims </w:t>
      </w:r>
    </w:p>
    <w:p>
      <w:pPr>
        <w:pStyle w:val="BodyText"/>
        <w:numPr>
          <w:ilvl w:val="0"/>
          <w:numId w:val="5"/>
        </w:numPr>
        <w:tabs>
          <w:tab w:val="clear" w:pos="1134"/>
          <w:tab w:val="left" w:pos="709" w:leader="none"/>
        </w:tabs>
        <w:bidi w:val="0"/>
        <w:spacing w:before="0" w:after="0"/>
        <w:ind w:hanging="283" w:left="709"/>
        <w:jc w:val="left"/>
        <w:rPr/>
      </w:pPr>
      <w:r>
        <w:rPr>
          <w:rStyle w:val="SourceText"/>
        </w:rPr>
        <w:t>MUST NOT</w:t>
      </w:r>
      <w:r>
        <w:rPr/>
        <w:t xml:space="preserve"> claim a higher profile if any mandatory control for that profile is absent </w:t>
      </w:r>
    </w:p>
    <w:p>
      <w:pPr>
        <w:pStyle w:val="BodyText"/>
        <w:numPr>
          <w:ilvl w:val="0"/>
          <w:numId w:val="5"/>
        </w:numPr>
        <w:tabs>
          <w:tab w:val="clear" w:pos="1134"/>
          <w:tab w:val="left" w:pos="709" w:leader="none"/>
        </w:tabs>
        <w:bidi w:val="0"/>
        <w:spacing w:before="0" w:after="0"/>
        <w:ind w:hanging="283" w:left="709"/>
        <w:jc w:val="left"/>
        <w:rPr/>
      </w:pPr>
      <w:r>
        <w:rPr>
          <w:rStyle w:val="SourceText"/>
        </w:rPr>
        <w:t>SHOULD</w:t>
      </w:r>
      <w:r>
        <w:rPr/>
        <w:t xml:space="preserve"> publish an implementation statement showing how each control is met </w:t>
      </w:r>
    </w:p>
    <w:p>
      <w:pPr>
        <w:pStyle w:val="BodyText"/>
        <w:numPr>
          <w:ilvl w:val="0"/>
          <w:numId w:val="5"/>
        </w:numPr>
        <w:tabs>
          <w:tab w:val="clear" w:pos="1134"/>
          <w:tab w:val="left" w:pos="709" w:leader="none"/>
        </w:tabs>
        <w:bidi w:val="0"/>
        <w:ind w:hanging="283" w:left="709"/>
        <w:jc w:val="left"/>
        <w:rPr/>
      </w:pPr>
      <w:r>
        <w:rPr>
          <w:rStyle w:val="SourceText"/>
        </w:rPr>
        <w:t>MAY</w:t>
      </w:r>
      <w:r>
        <w:rPr/>
        <w:t xml:space="preserve"> implement controls beyond those required by its claimed profile </w:t>
      </w:r>
    </w:p>
    <w:p>
      <w:pPr>
        <w:pStyle w:val="Heading3"/>
        <w:bidi w:val="0"/>
        <w:jc w:val="left"/>
        <w:rPr/>
      </w:pPr>
      <w:r>
        <w:rPr/>
        <w:t>2.1 Standard Versioning, Lifecycle, and Conformance Assertions</w:t>
      </w:r>
    </w:p>
    <w:p>
      <w:pPr>
        <w:pStyle w:val="BodyText"/>
        <w:bidi w:val="0"/>
        <w:jc w:val="left"/>
        <w:rPr/>
      </w:pPr>
      <w:r>
        <w:rPr/>
        <w:t xml:space="preserve">This standard </w:t>
      </w:r>
      <w:r>
        <w:rPr>
          <w:rStyle w:val="SourceText"/>
        </w:rPr>
        <w:t>SHOULD</w:t>
      </w:r>
      <w:r>
        <w:rPr/>
        <w:t xml:space="preserve"> be versioned using a semantic-style scheme:</w:t>
      </w:r>
    </w:p>
    <w:p>
      <w:pPr>
        <w:pStyle w:val="BodyText"/>
        <w:numPr>
          <w:ilvl w:val="0"/>
          <w:numId w:val="6"/>
        </w:numPr>
        <w:tabs>
          <w:tab w:val="clear" w:pos="1134"/>
          <w:tab w:val="left" w:pos="709" w:leader="none"/>
        </w:tabs>
        <w:bidi w:val="0"/>
        <w:spacing w:before="0" w:after="0"/>
        <w:ind w:hanging="283" w:left="709"/>
        <w:jc w:val="left"/>
        <w:rPr/>
      </w:pPr>
      <w:r>
        <w:rPr/>
        <w:t xml:space="preserve">major versions for normative incompatibilities </w:t>
      </w:r>
    </w:p>
    <w:p>
      <w:pPr>
        <w:pStyle w:val="BodyText"/>
        <w:numPr>
          <w:ilvl w:val="0"/>
          <w:numId w:val="6"/>
        </w:numPr>
        <w:tabs>
          <w:tab w:val="clear" w:pos="1134"/>
          <w:tab w:val="left" w:pos="709" w:leader="none"/>
        </w:tabs>
        <w:bidi w:val="0"/>
        <w:spacing w:before="0" w:after="0"/>
        <w:ind w:hanging="283" w:left="709"/>
        <w:jc w:val="left"/>
        <w:rPr/>
      </w:pPr>
      <w:r>
        <w:rPr/>
        <w:t xml:space="preserve">minor versions for additive normative requirements or profile extensions </w:t>
      </w:r>
    </w:p>
    <w:p>
      <w:pPr>
        <w:pStyle w:val="BodyText"/>
        <w:numPr>
          <w:ilvl w:val="0"/>
          <w:numId w:val="6"/>
        </w:numPr>
        <w:tabs>
          <w:tab w:val="clear" w:pos="1134"/>
          <w:tab w:val="left" w:pos="709" w:leader="none"/>
        </w:tabs>
        <w:bidi w:val="0"/>
        <w:ind w:hanging="283" w:left="709"/>
        <w:jc w:val="left"/>
        <w:rPr/>
      </w:pPr>
      <w:r>
        <w:rPr/>
        <w:t xml:space="preserve">patch versions for clarifications, errata, or non-substantive corrections </w:t>
      </w:r>
    </w:p>
    <w:p>
      <w:pPr>
        <w:pStyle w:val="BodyText"/>
        <w:bidi w:val="0"/>
        <w:jc w:val="left"/>
        <w:rPr/>
      </w:pPr>
      <w:r>
        <w:rPr/>
        <w:t xml:space="preserve">Implementations claiming conformance </w:t>
      </w:r>
      <w:r>
        <w:rPr>
          <w:rStyle w:val="SourceText"/>
        </w:rPr>
        <w:t>SHOULD</w:t>
      </w:r>
      <w:r>
        <w:rPr/>
        <w:t xml:space="preserve"> declare:</w:t>
      </w:r>
    </w:p>
    <w:p>
      <w:pPr>
        <w:pStyle w:val="BodyText"/>
        <w:numPr>
          <w:ilvl w:val="0"/>
          <w:numId w:val="7"/>
        </w:numPr>
        <w:tabs>
          <w:tab w:val="clear" w:pos="1134"/>
          <w:tab w:val="left" w:pos="709" w:leader="none"/>
        </w:tabs>
        <w:bidi w:val="0"/>
        <w:spacing w:before="0" w:after="0"/>
        <w:ind w:hanging="283" w:left="709"/>
        <w:jc w:val="left"/>
        <w:rPr/>
      </w:pPr>
      <w:r>
        <w:rPr/>
        <w:t xml:space="preserve">the </w:t>
      </w:r>
      <w:r>
        <w:rPr>
          <w:rStyle w:val="SourceText"/>
        </w:rPr>
        <w:t>TAK</w:t>
      </w:r>
      <w:r>
        <w:rPr/>
        <w:t xml:space="preserve"> version supported </w:t>
      </w:r>
    </w:p>
    <w:p>
      <w:pPr>
        <w:pStyle w:val="BodyText"/>
        <w:numPr>
          <w:ilvl w:val="0"/>
          <w:numId w:val="7"/>
        </w:numPr>
        <w:tabs>
          <w:tab w:val="clear" w:pos="1134"/>
          <w:tab w:val="left" w:pos="709" w:leader="none"/>
        </w:tabs>
        <w:bidi w:val="0"/>
        <w:spacing w:before="0" w:after="0"/>
        <w:ind w:hanging="283" w:left="709"/>
        <w:jc w:val="left"/>
        <w:rPr/>
      </w:pPr>
      <w:r>
        <w:rPr/>
        <w:t xml:space="preserve">the claimed conformance profile </w:t>
      </w:r>
    </w:p>
    <w:p>
      <w:pPr>
        <w:pStyle w:val="BodyText"/>
        <w:numPr>
          <w:ilvl w:val="0"/>
          <w:numId w:val="7"/>
        </w:numPr>
        <w:tabs>
          <w:tab w:val="clear" w:pos="1134"/>
          <w:tab w:val="left" w:pos="709" w:leader="none"/>
        </w:tabs>
        <w:bidi w:val="0"/>
        <w:ind w:hanging="283" w:left="709"/>
        <w:jc w:val="left"/>
        <w:rPr/>
      </w:pPr>
      <w:r>
        <w:rPr/>
        <w:t xml:space="preserve">any profile extensions or deployment-specific constraints </w:t>
      </w:r>
    </w:p>
    <w:p>
      <w:pPr>
        <w:pStyle w:val="BodyText"/>
        <w:bidi w:val="0"/>
        <w:jc w:val="left"/>
        <w:rPr/>
      </w:pPr>
      <w:r>
        <w:rPr/>
        <w:t xml:space="preserve">Each normative </w:t>
      </w:r>
      <w:r>
        <w:rPr>
          <w:rStyle w:val="SourceText"/>
        </w:rPr>
        <w:t>MUST</w:t>
      </w:r>
      <w:r>
        <w:rPr/>
        <w:t xml:space="preserve"> statement in this standard </w:t>
      </w:r>
      <w:r>
        <w:rPr>
          <w:rStyle w:val="SourceText"/>
        </w:rPr>
        <w:t>SHOULD</w:t>
      </w:r>
      <w:r>
        <w:rPr/>
        <w:t xml:space="preserve"> map to one or more explicit conformance assertions in a companion test suite or implementation statement. This document does not require a single central test harness, but it does require that conformance claims be testable rather than rhetorical.</w:t>
      </w:r>
    </w:p>
    <w:p>
      <w:pPr>
        <w:pStyle w:val="BodyText"/>
        <w:bidi w:val="0"/>
        <w:jc w:val="left"/>
        <w:rPr/>
      </w:pPr>
      <w:r>
        <w:rPr/>
        <w:t xml:space="preserve">A suggested companion assertion rubric for this revision is published in </w:t>
      </w:r>
      <w:r>
        <w:rPr>
          <w:rStyle w:val="SourceText"/>
        </w:rPr>
        <w:t>tak-conformance-tests.md</w:t>
      </w:r>
      <w:r>
        <w:rPr/>
        <w:t>.</w:t>
      </w:r>
    </w:p>
    <w:p>
      <w:pPr>
        <w:pStyle w:val="BodyText"/>
        <w:bidi w:val="0"/>
        <w:jc w:val="left"/>
        <w:rPr/>
      </w:pPr>
      <w:r>
        <w:rPr/>
        <w:t xml:space="preserve">The intended lifecycle of </w:t>
      </w:r>
      <w:r>
        <w:rPr>
          <w:rStyle w:val="SourceText"/>
        </w:rPr>
        <w:t>TAK</w:t>
      </w:r>
      <w:r>
        <w:rPr/>
        <w:t xml:space="preserve"> is open standards progression through multistakeholder implementation and liaison rather than indefinite treatment as an internal white paper.</w:t>
      </w:r>
    </w:p>
    <w:p>
      <w:pPr>
        <w:pStyle w:val="BodyText"/>
        <w:bidi w:val="0"/>
        <w:jc w:val="left"/>
        <w:rPr/>
      </w:pPr>
      <w:r>
        <w:rPr/>
        <w:t xml:space="preserve">The preferred near-term disposition is publication as an open industry specification with liaison into </w:t>
      </w:r>
      <w:r>
        <w:rPr>
          <w:rStyle w:val="SourceText"/>
        </w:rPr>
        <w:t>NIST</w:t>
      </w:r>
      <w:r>
        <w:rPr/>
        <w:t xml:space="preserve">, the </w:t>
      </w:r>
      <w:r>
        <w:rPr>
          <w:rStyle w:val="SourceText"/>
        </w:rPr>
        <w:t>Agentic AI Foundation</w:t>
      </w:r>
      <w:r>
        <w:rPr/>
        <w:t xml:space="preserve">, </w:t>
      </w:r>
      <w:r>
        <w:rPr>
          <w:rStyle w:val="SourceText"/>
        </w:rPr>
        <w:t>OASIS</w:t>
      </w:r>
      <w:r>
        <w:rPr/>
        <w:t xml:space="preserve"> / </w:t>
      </w:r>
      <w:r>
        <w:rPr>
          <w:rStyle w:val="SourceText"/>
        </w:rPr>
        <w:t>CoSAI</w:t>
      </w:r>
      <w:r>
        <w:rPr/>
        <w:t xml:space="preserve">, and relevant </w:t>
      </w:r>
      <w:r>
        <w:rPr>
          <w:rStyle w:val="SourceText"/>
        </w:rPr>
        <w:t>IETF</w:t>
      </w:r>
      <w:r>
        <w:rPr/>
        <w:t xml:space="preserve"> OAuth and </w:t>
      </w:r>
      <w:r>
        <w:rPr>
          <w:rStyle w:val="SourceText"/>
        </w:rPr>
        <w:t>GNAP</w:t>
      </w:r>
      <w:r>
        <w:rPr/>
        <w:t xml:space="preserve"> work, with later venue-specific profiles or submissions preserving the same core runtime semantics.</w:t>
      </w:r>
    </w:p>
    <w:p>
      <w:pPr>
        <w:pStyle w:val="Heading2"/>
        <w:bidi w:val="0"/>
        <w:jc w:val="left"/>
        <w:rPr/>
      </w:pPr>
      <w:r>
        <w:rPr/>
        <w:t>3. References</w:t>
      </w:r>
    </w:p>
    <w:p>
      <w:pPr>
        <w:pStyle w:val="Heading3"/>
        <w:bidi w:val="0"/>
        <w:jc w:val="left"/>
        <w:rPr/>
      </w:pPr>
      <w:r>
        <w:rPr/>
        <w:t>3.1 Normative References</w:t>
      </w:r>
    </w:p>
    <w:p>
      <w:pPr>
        <w:pStyle w:val="BodyText"/>
        <w:bidi w:val="0"/>
        <w:jc w:val="left"/>
        <w:rPr/>
      </w:pPr>
      <w:r>
        <w:rPr/>
        <w:t>The following companion standards are indispensable to applying this document:</w:t>
      </w:r>
    </w:p>
    <w:tbl>
      <w:tblPr>
        <w:tblW w:w="14658" w:type="dxa"/>
        <w:jc w:val="left"/>
        <w:tblInd w:w="0" w:type="dxa"/>
        <w:tblLayout w:type="fixed"/>
        <w:tblCellMar>
          <w:top w:w="28" w:type="dxa"/>
          <w:left w:w="28" w:type="dxa"/>
          <w:bottom w:w="28" w:type="dxa"/>
          <w:right w:w="28" w:type="dxa"/>
        </w:tblCellMar>
      </w:tblPr>
      <w:tblGrid>
        <w:gridCol w:w="3738"/>
        <w:gridCol w:w="10920"/>
      </w:tblGrid>
      <w:tr>
        <w:trPr>
          <w:tblHeader w:val="true"/>
        </w:trPr>
        <w:tc>
          <w:tcPr>
            <w:tcW w:w="3738" w:type="dxa"/>
            <w:tcBorders/>
            <w:vAlign w:val="center"/>
          </w:tcPr>
          <w:p>
            <w:pPr>
              <w:pStyle w:val="TableHeading"/>
              <w:suppressLineNumbers/>
              <w:bidi w:val="0"/>
              <w:spacing w:before="0" w:after="283"/>
              <w:jc w:val="center"/>
              <w:rPr/>
            </w:pPr>
            <w:r>
              <w:rPr/>
              <w:t>Reference</w:t>
            </w:r>
          </w:p>
        </w:tc>
        <w:tc>
          <w:tcPr>
            <w:tcW w:w="10920" w:type="dxa"/>
            <w:tcBorders/>
            <w:vAlign w:val="center"/>
          </w:tcPr>
          <w:p>
            <w:pPr>
              <w:pStyle w:val="TableHeading"/>
              <w:suppressLineNumbers/>
              <w:bidi w:val="0"/>
              <w:spacing w:before="0" w:after="283"/>
              <w:jc w:val="center"/>
              <w:rPr/>
            </w:pPr>
            <w:r>
              <w:rPr/>
              <w:t>Normative relationship</w:t>
            </w:r>
          </w:p>
        </w:tc>
      </w:tr>
      <w:tr>
        <w:trPr/>
        <w:tc>
          <w:tcPr>
            <w:tcW w:w="3738" w:type="dxa"/>
            <w:tcBorders/>
            <w:vAlign w:val="center"/>
          </w:tcPr>
          <w:p>
            <w:pPr>
              <w:pStyle w:val="TableContents"/>
              <w:bidi w:val="0"/>
              <w:spacing w:before="0" w:after="283"/>
              <w:jc w:val="left"/>
              <w:rPr/>
            </w:pPr>
            <w:hyperlink r:id="rId7">
              <w:r>
                <w:rPr>
                  <w:rStyle w:val="Hyperlink"/>
                </w:rPr>
                <w:t>GAID</w:t>
              </w:r>
            </w:hyperlink>
          </w:p>
        </w:tc>
        <w:tc>
          <w:tcPr>
            <w:tcW w:w="10920" w:type="dxa"/>
            <w:tcBorders/>
            <w:vAlign w:val="center"/>
          </w:tcPr>
          <w:p>
            <w:pPr>
              <w:pStyle w:val="TableContents"/>
              <w:bidi w:val="0"/>
              <w:spacing w:before="0" w:after="283"/>
              <w:jc w:val="left"/>
              <w:rPr/>
            </w:pPr>
            <w:r>
              <w:rPr/>
              <w:t xml:space="preserve">Defines the identified agent subject, operating-profile binding, assurance claims, and receipts consumed by </w:t>
            </w:r>
            <w:r>
              <w:rPr>
                <w:rStyle w:val="SourceText"/>
              </w:rPr>
              <w:t>TAK</w:t>
            </w:r>
          </w:p>
        </w:tc>
      </w:tr>
      <w:tr>
        <w:trPr/>
        <w:tc>
          <w:tcPr>
            <w:tcW w:w="3738" w:type="dxa"/>
            <w:tcBorders/>
            <w:vAlign w:val="center"/>
          </w:tcPr>
          <w:p>
            <w:pPr>
              <w:pStyle w:val="TableContents"/>
              <w:bidi w:val="0"/>
              <w:spacing w:before="0" w:after="283"/>
              <w:jc w:val="left"/>
              <w:rPr/>
            </w:pPr>
            <w:hyperlink r:id="rId8">
              <w:r>
                <w:rPr>
                  <w:rStyle w:val="Hyperlink"/>
                </w:rPr>
                <w:t>Job-Specific Intelligence (</w:t>
              </w:r>
              <w:r>
                <w:rPr>
                  <w:rStyle w:val="Hyperlink"/>
                  <w:rFonts w:ascii="Liberation Mono" w:hAnsi="Liberation Mono" w:eastAsia="Liberation Mono" w:cs="Liberation Mono"/>
                </w:rPr>
                <w:t>TAK-JSI</w:t>
              </w:r>
              <w:r>
                <w:rPr>
                  <w:rStyle w:val="Hyperlink"/>
                </w:rPr>
                <w:t>)</w:t>
              </w:r>
            </w:hyperlink>
          </w:p>
        </w:tc>
        <w:tc>
          <w:tcPr>
            <w:tcW w:w="10920" w:type="dxa"/>
            <w:tcBorders/>
            <w:vAlign w:val="center"/>
          </w:tcPr>
          <w:p>
            <w:pPr>
              <w:pStyle w:val="TableContents"/>
              <w:bidi w:val="0"/>
              <w:spacing w:before="0" w:after="283"/>
              <w:jc w:val="left"/>
              <w:rPr/>
            </w:pPr>
            <w:r>
              <w:rPr/>
              <w:t xml:space="preserve">Defines the job qualification and evidence-supported autonomy ceiling enforced by </w:t>
            </w:r>
            <w:r>
              <w:rPr>
                <w:rStyle w:val="SourceText"/>
              </w:rPr>
              <w:t>TAK</w:t>
            </w:r>
          </w:p>
        </w:tc>
      </w:tr>
    </w:tbl>
    <w:p>
      <w:pPr>
        <w:pStyle w:val="Heading3"/>
        <w:bidi w:val="0"/>
        <w:jc w:val="left"/>
        <w:rPr/>
      </w:pPr>
      <w:r>
        <w:rPr/>
        <w:t>3.2 Informative External References</w:t>
      </w:r>
    </w:p>
    <w:p>
      <w:pPr>
        <w:pStyle w:val="BodyText"/>
        <w:bidi w:val="0"/>
        <w:jc w:val="left"/>
        <w:rPr/>
      </w:pPr>
      <w:r>
        <w:rPr/>
        <w:t xml:space="preserve">The following references are relevant to this standard and informed its design. Publication in this table does not imply that every reference is normatively incorporated in full. The exact relationship—adoption, profiling, augmentation, mapping, or adjacency—is maintained in the informative </w:t>
      </w:r>
      <w:hyperlink r:id="rId9">
        <w:r>
          <w:rPr>
            <w:rStyle w:val="Hyperlink"/>
          </w:rPr>
          <w:t>External Standards Alignment</w:t>
        </w:r>
      </w:hyperlink>
      <w:r>
        <w:rPr/>
        <w:t xml:space="preserve"> companion.</w:t>
      </w:r>
    </w:p>
    <w:tbl>
      <w:tblPr>
        <w:tblW w:w="20921" w:type="dxa"/>
        <w:jc w:val="left"/>
        <w:tblInd w:w="0" w:type="dxa"/>
        <w:tblLayout w:type="fixed"/>
        <w:tblCellMar>
          <w:top w:w="28" w:type="dxa"/>
          <w:left w:w="28" w:type="dxa"/>
          <w:bottom w:w="28" w:type="dxa"/>
          <w:right w:w="28" w:type="dxa"/>
        </w:tblCellMar>
      </w:tblPr>
      <w:tblGrid>
        <w:gridCol w:w="7054"/>
        <w:gridCol w:w="13867"/>
      </w:tblGrid>
      <w:tr>
        <w:trPr>
          <w:tblHeader w:val="true"/>
        </w:trPr>
        <w:tc>
          <w:tcPr>
            <w:tcW w:w="7054" w:type="dxa"/>
            <w:tcBorders/>
            <w:vAlign w:val="center"/>
          </w:tcPr>
          <w:p>
            <w:pPr>
              <w:pStyle w:val="TableHeading"/>
              <w:suppressLineNumbers/>
              <w:bidi w:val="0"/>
              <w:spacing w:before="0" w:after="283"/>
              <w:jc w:val="center"/>
              <w:rPr/>
            </w:pPr>
            <w:r>
              <w:rPr/>
              <w:t>Reference</w:t>
            </w:r>
          </w:p>
        </w:tc>
        <w:tc>
          <w:tcPr>
            <w:tcW w:w="13867" w:type="dxa"/>
            <w:tcBorders/>
            <w:vAlign w:val="center"/>
          </w:tcPr>
          <w:p>
            <w:pPr>
              <w:pStyle w:val="TableHeading"/>
              <w:suppressLineNumbers/>
              <w:bidi w:val="0"/>
              <w:spacing w:before="0" w:after="283"/>
              <w:jc w:val="center"/>
              <w:rPr/>
            </w:pPr>
            <w:r>
              <w:rPr/>
              <w:t>Relevance</w:t>
            </w:r>
          </w:p>
        </w:tc>
      </w:tr>
      <w:tr>
        <w:trPr/>
        <w:tc>
          <w:tcPr>
            <w:tcW w:w="7054" w:type="dxa"/>
            <w:tcBorders/>
            <w:vAlign w:val="center"/>
          </w:tcPr>
          <w:p>
            <w:pPr>
              <w:pStyle w:val="TableContents"/>
              <w:bidi w:val="0"/>
              <w:spacing w:before="0" w:after="283"/>
              <w:jc w:val="left"/>
              <w:rPr/>
            </w:pPr>
            <w:hyperlink r:id="rId10">
              <w:r>
                <w:rPr>
                  <w:rStyle w:val="Hyperlink"/>
                </w:rPr>
                <w:t>ISO/IEC 42001:2023</w:t>
              </w:r>
            </w:hyperlink>
          </w:p>
        </w:tc>
        <w:tc>
          <w:tcPr>
            <w:tcW w:w="13867" w:type="dxa"/>
            <w:tcBorders/>
            <w:vAlign w:val="center"/>
          </w:tcPr>
          <w:p>
            <w:pPr>
              <w:pStyle w:val="TableContents"/>
              <w:bidi w:val="0"/>
              <w:spacing w:before="0" w:after="283"/>
              <w:jc w:val="left"/>
              <w:rPr/>
            </w:pPr>
            <w:r>
              <w:rPr/>
              <w:t>Organization-level AI management systems</w:t>
            </w:r>
          </w:p>
        </w:tc>
      </w:tr>
      <w:tr>
        <w:trPr/>
        <w:tc>
          <w:tcPr>
            <w:tcW w:w="7054" w:type="dxa"/>
            <w:tcBorders/>
            <w:vAlign w:val="center"/>
          </w:tcPr>
          <w:p>
            <w:pPr>
              <w:pStyle w:val="TableContents"/>
              <w:bidi w:val="0"/>
              <w:spacing w:before="0" w:after="283"/>
              <w:jc w:val="left"/>
              <w:rPr/>
            </w:pPr>
            <w:hyperlink r:id="rId11">
              <w:r>
                <w:rPr>
                  <w:rStyle w:val="Hyperlink"/>
                </w:rPr>
                <w:t>ISO/IEC 17024:2026</w:t>
              </w:r>
            </w:hyperlink>
          </w:p>
        </w:tc>
        <w:tc>
          <w:tcPr>
            <w:tcW w:w="13867" w:type="dxa"/>
            <w:tcBorders/>
            <w:vAlign w:val="center"/>
          </w:tcPr>
          <w:p>
            <w:pPr>
              <w:pStyle w:val="TableContents"/>
              <w:bidi w:val="0"/>
              <w:spacing w:before="0" w:after="283"/>
              <w:jc w:val="left"/>
              <w:rPr/>
            </w:pPr>
            <w:r>
              <w:rPr/>
              <w:t xml:space="preserve">Competence-scheme, assessment, surveillance, and reassessment prior art profiled by </w:t>
            </w:r>
            <w:r>
              <w:rPr>
                <w:rStyle w:val="SourceText"/>
              </w:rPr>
              <w:t>TAK-JSI</w:t>
            </w:r>
          </w:p>
        </w:tc>
      </w:tr>
      <w:tr>
        <w:trPr/>
        <w:tc>
          <w:tcPr>
            <w:tcW w:w="7054" w:type="dxa"/>
            <w:tcBorders/>
            <w:vAlign w:val="center"/>
          </w:tcPr>
          <w:p>
            <w:pPr>
              <w:pStyle w:val="TableContents"/>
              <w:bidi w:val="0"/>
              <w:spacing w:before="0" w:after="283"/>
              <w:jc w:val="left"/>
              <w:rPr/>
            </w:pPr>
            <w:hyperlink r:id="rId12">
              <w:r>
                <w:rPr>
                  <w:rStyle w:val="Hyperlink"/>
                </w:rPr>
                <w:t>ISO/IEC 25059:2023</w:t>
              </w:r>
            </w:hyperlink>
          </w:p>
        </w:tc>
        <w:tc>
          <w:tcPr>
            <w:tcW w:w="13867" w:type="dxa"/>
            <w:tcBorders/>
            <w:vAlign w:val="center"/>
          </w:tcPr>
          <w:p>
            <w:pPr>
              <w:pStyle w:val="TableContents"/>
              <w:bidi w:val="0"/>
              <w:spacing w:before="0" w:after="283"/>
              <w:jc w:val="left"/>
              <w:rPr/>
            </w:pPr>
            <w:r>
              <w:rPr/>
              <w:t>AI-system quality characteristics for specification and evaluation</w:t>
            </w:r>
          </w:p>
        </w:tc>
      </w:tr>
      <w:tr>
        <w:trPr/>
        <w:tc>
          <w:tcPr>
            <w:tcW w:w="7054" w:type="dxa"/>
            <w:tcBorders/>
            <w:vAlign w:val="center"/>
          </w:tcPr>
          <w:p>
            <w:pPr>
              <w:pStyle w:val="TableContents"/>
              <w:bidi w:val="0"/>
              <w:spacing w:before="0" w:after="283"/>
              <w:jc w:val="left"/>
              <w:rPr/>
            </w:pPr>
            <w:hyperlink r:id="rId13">
              <w:r>
                <w:rPr>
                  <w:rStyle w:val="Hyperlink"/>
                </w:rPr>
                <w:t>ISO/IEC 5259-5:2025</w:t>
              </w:r>
            </w:hyperlink>
          </w:p>
        </w:tc>
        <w:tc>
          <w:tcPr>
            <w:tcW w:w="13867" w:type="dxa"/>
            <w:tcBorders/>
            <w:vAlign w:val="center"/>
          </w:tcPr>
          <w:p>
            <w:pPr>
              <w:pStyle w:val="TableContents"/>
              <w:bidi w:val="0"/>
              <w:spacing w:before="0" w:after="283"/>
              <w:jc w:val="left"/>
              <w:rPr/>
            </w:pPr>
            <w:r>
              <w:rPr/>
              <w:t>Data-quality governance and stewardship relevant to qualified agent work</w:t>
            </w:r>
          </w:p>
        </w:tc>
      </w:tr>
      <w:tr>
        <w:trPr/>
        <w:tc>
          <w:tcPr>
            <w:tcW w:w="7054" w:type="dxa"/>
            <w:tcBorders/>
            <w:vAlign w:val="center"/>
          </w:tcPr>
          <w:p>
            <w:pPr>
              <w:pStyle w:val="TableContents"/>
              <w:bidi w:val="0"/>
              <w:spacing w:before="0" w:after="283"/>
              <w:jc w:val="left"/>
              <w:rPr/>
            </w:pPr>
            <w:hyperlink r:id="rId14">
              <w:r>
                <w:rPr>
                  <w:rStyle w:val="Hyperlink"/>
                </w:rPr>
                <w:t>ISO/IEC TS 42119-2:2025</w:t>
              </w:r>
            </w:hyperlink>
          </w:p>
        </w:tc>
        <w:tc>
          <w:tcPr>
            <w:tcW w:w="13867" w:type="dxa"/>
            <w:tcBorders/>
            <w:vAlign w:val="center"/>
          </w:tcPr>
          <w:p>
            <w:pPr>
              <w:pStyle w:val="TableContents"/>
              <w:bidi w:val="0"/>
              <w:spacing w:before="0" w:after="283"/>
              <w:jc w:val="left"/>
              <w:rPr/>
            </w:pPr>
            <w:r>
              <w:rPr/>
              <w:t xml:space="preserve">Risk-based AI-system testing practices that </w:t>
            </w:r>
            <w:r>
              <w:rPr>
                <w:rStyle w:val="SourceText"/>
              </w:rPr>
              <w:t>TAK</w:t>
            </w:r>
            <w:r>
              <w:rPr/>
              <w:t xml:space="preserve"> runtime and qualification evaluation can exercise</w:t>
            </w:r>
          </w:p>
        </w:tc>
      </w:tr>
      <w:tr>
        <w:trPr/>
        <w:tc>
          <w:tcPr>
            <w:tcW w:w="7054" w:type="dxa"/>
            <w:tcBorders/>
            <w:vAlign w:val="center"/>
          </w:tcPr>
          <w:p>
            <w:pPr>
              <w:pStyle w:val="TableContents"/>
              <w:bidi w:val="0"/>
              <w:spacing w:before="0" w:after="283"/>
              <w:jc w:val="left"/>
              <w:rPr/>
            </w:pPr>
            <w:hyperlink r:id="rId15">
              <w:r>
                <w:rPr>
                  <w:rStyle w:val="Hyperlink"/>
                </w:rPr>
                <w:t>ISO/IEC 42119-3</w:t>
              </w:r>
            </w:hyperlink>
          </w:p>
        </w:tc>
        <w:tc>
          <w:tcPr>
            <w:tcW w:w="13867" w:type="dxa"/>
            <w:tcBorders/>
            <w:vAlign w:val="center"/>
          </w:tcPr>
          <w:p>
            <w:pPr>
              <w:pStyle w:val="TableContents"/>
              <w:bidi w:val="0"/>
              <w:spacing w:before="0" w:after="283"/>
              <w:jc w:val="left"/>
              <w:rPr/>
            </w:pPr>
            <w:r>
              <w:rPr/>
              <w:t>Verification and validation analysis across the AI-system lifecycle; active work augmented by operating-profile and revalidation semantics</w:t>
            </w:r>
          </w:p>
        </w:tc>
      </w:tr>
      <w:tr>
        <w:trPr/>
        <w:tc>
          <w:tcPr>
            <w:tcW w:w="7054" w:type="dxa"/>
            <w:tcBorders/>
            <w:vAlign w:val="center"/>
          </w:tcPr>
          <w:p>
            <w:pPr>
              <w:pStyle w:val="TableContents"/>
              <w:bidi w:val="0"/>
              <w:spacing w:before="0" w:after="283"/>
              <w:jc w:val="left"/>
              <w:rPr/>
            </w:pPr>
            <w:hyperlink r:id="rId16">
              <w:r>
                <w:rPr>
                  <w:rStyle w:val="Hyperlink"/>
                </w:rPr>
                <w:t>ISO/IEC FDIS 42105</w:t>
              </w:r>
            </w:hyperlink>
          </w:p>
        </w:tc>
        <w:tc>
          <w:tcPr>
            <w:tcW w:w="13867" w:type="dxa"/>
            <w:tcBorders/>
            <w:vAlign w:val="center"/>
          </w:tcPr>
          <w:p>
            <w:pPr>
              <w:pStyle w:val="TableContents"/>
              <w:bidi w:val="0"/>
              <w:spacing w:before="0" w:after="283"/>
              <w:jc w:val="left"/>
              <w:rPr/>
            </w:pPr>
            <w:r>
              <w:rPr/>
              <w:t>Human oversight guidance under development, complemented by enforceable oversight floors, proactivity clamping, and autonomy regression</w:t>
            </w:r>
          </w:p>
        </w:tc>
      </w:tr>
      <w:tr>
        <w:trPr/>
        <w:tc>
          <w:tcPr>
            <w:tcW w:w="7054" w:type="dxa"/>
            <w:tcBorders/>
            <w:vAlign w:val="center"/>
          </w:tcPr>
          <w:p>
            <w:pPr>
              <w:pStyle w:val="TableContents"/>
              <w:bidi w:val="0"/>
              <w:spacing w:before="0" w:after="283"/>
              <w:jc w:val="left"/>
              <w:rPr/>
            </w:pPr>
            <w:hyperlink r:id="rId17">
              <w:r>
                <w:rPr>
                  <w:rStyle w:val="Hyperlink"/>
                </w:rPr>
                <w:t>ISO/IEC JTC 1/SC 42</w:t>
              </w:r>
            </w:hyperlink>
          </w:p>
        </w:tc>
        <w:tc>
          <w:tcPr>
            <w:tcW w:w="13867" w:type="dxa"/>
            <w:tcBorders/>
            <w:vAlign w:val="center"/>
          </w:tcPr>
          <w:p>
            <w:pPr>
              <w:pStyle w:val="TableContents"/>
              <w:bidi w:val="0"/>
              <w:spacing w:before="0" w:after="283"/>
              <w:jc w:val="left"/>
              <w:rPr/>
            </w:pPr>
            <w:r>
              <w:rPr/>
              <w:t>Horizontal AI standards program, including trustworthiness, data, systems engineering, and AI conformity-assessment work</w:t>
            </w:r>
          </w:p>
        </w:tc>
      </w:tr>
      <w:tr>
        <w:trPr/>
        <w:tc>
          <w:tcPr>
            <w:tcW w:w="7054" w:type="dxa"/>
            <w:tcBorders/>
            <w:vAlign w:val="center"/>
          </w:tcPr>
          <w:p>
            <w:pPr>
              <w:pStyle w:val="TableContents"/>
              <w:bidi w:val="0"/>
              <w:spacing w:before="0" w:after="283"/>
              <w:jc w:val="left"/>
              <w:rPr/>
            </w:pPr>
            <w:hyperlink r:id="rId18">
              <w:r>
                <w:rPr>
                  <w:rStyle w:val="Hyperlink"/>
                </w:rPr>
                <w:t>NIST AI RMF 1.0</w:t>
              </w:r>
            </w:hyperlink>
          </w:p>
        </w:tc>
        <w:tc>
          <w:tcPr>
            <w:tcW w:w="13867" w:type="dxa"/>
            <w:tcBorders/>
            <w:vAlign w:val="center"/>
          </w:tcPr>
          <w:p>
            <w:pPr>
              <w:pStyle w:val="TableContents"/>
              <w:bidi w:val="0"/>
              <w:spacing w:before="0" w:after="283"/>
              <w:jc w:val="left"/>
              <w:rPr/>
            </w:pPr>
            <w:r>
              <w:rPr/>
              <w:t>Risk management framing for AI systems</w:t>
            </w:r>
          </w:p>
        </w:tc>
      </w:tr>
      <w:tr>
        <w:trPr/>
        <w:tc>
          <w:tcPr>
            <w:tcW w:w="7054" w:type="dxa"/>
            <w:tcBorders/>
            <w:vAlign w:val="center"/>
          </w:tcPr>
          <w:p>
            <w:pPr>
              <w:pStyle w:val="TableContents"/>
              <w:bidi w:val="0"/>
              <w:spacing w:before="0" w:after="283"/>
              <w:jc w:val="left"/>
              <w:rPr/>
            </w:pPr>
            <w:hyperlink r:id="rId19">
              <w:r>
                <w:rPr>
                  <w:rStyle w:val="Hyperlink"/>
                </w:rPr>
                <w:t>NIST AI Agent Standards Initiative</w:t>
              </w:r>
            </w:hyperlink>
          </w:p>
        </w:tc>
        <w:tc>
          <w:tcPr>
            <w:tcW w:w="13867" w:type="dxa"/>
            <w:tcBorders/>
            <w:vAlign w:val="center"/>
          </w:tcPr>
          <w:p>
            <w:pPr>
              <w:pStyle w:val="TableContents"/>
              <w:bidi w:val="0"/>
              <w:spacing w:before="0" w:after="283"/>
              <w:jc w:val="left"/>
              <w:rPr/>
            </w:pPr>
            <w:r>
              <w:rPr/>
              <w:t>Current U.S. public-sector standards activity for agent security, identity, interoperability, and evaluation</w:t>
            </w:r>
          </w:p>
        </w:tc>
      </w:tr>
      <w:tr>
        <w:trPr/>
        <w:tc>
          <w:tcPr>
            <w:tcW w:w="7054" w:type="dxa"/>
            <w:tcBorders/>
            <w:vAlign w:val="center"/>
          </w:tcPr>
          <w:p>
            <w:pPr>
              <w:pStyle w:val="TableContents"/>
              <w:bidi w:val="0"/>
              <w:spacing w:before="0" w:after="283"/>
              <w:jc w:val="left"/>
              <w:rPr/>
            </w:pPr>
            <w:hyperlink r:id="rId20">
              <w:r>
                <w:rPr>
                  <w:rStyle w:val="Hyperlink"/>
                </w:rPr>
                <w:t>NCCoE concept paper: software and AI agent identity and authorization</w:t>
              </w:r>
            </w:hyperlink>
          </w:p>
        </w:tc>
        <w:tc>
          <w:tcPr>
            <w:tcW w:w="13867" w:type="dxa"/>
            <w:tcBorders/>
            <w:vAlign w:val="center"/>
          </w:tcPr>
          <w:p>
            <w:pPr>
              <w:pStyle w:val="TableContents"/>
              <w:bidi w:val="0"/>
              <w:spacing w:before="0" w:after="283"/>
              <w:jc w:val="left"/>
              <w:rPr/>
            </w:pPr>
            <w:r>
              <w:rPr/>
              <w:t>Identity, authorization, auditing, and non-repudiation concerns for agents</w:t>
            </w:r>
          </w:p>
        </w:tc>
      </w:tr>
      <w:tr>
        <w:trPr/>
        <w:tc>
          <w:tcPr>
            <w:tcW w:w="7054" w:type="dxa"/>
            <w:tcBorders/>
            <w:vAlign w:val="center"/>
          </w:tcPr>
          <w:p>
            <w:pPr>
              <w:pStyle w:val="TableContents"/>
              <w:bidi w:val="0"/>
              <w:spacing w:before="0" w:after="283"/>
              <w:jc w:val="left"/>
              <w:rPr/>
            </w:pPr>
            <w:hyperlink r:id="rId21">
              <w:r>
                <w:rPr>
                  <w:rStyle w:val="Hyperlink"/>
                </w:rPr>
                <w:t>NIST AI 800-2 benchmark evaluation draft</w:t>
              </w:r>
            </w:hyperlink>
          </w:p>
        </w:tc>
        <w:tc>
          <w:tcPr>
            <w:tcW w:w="13867" w:type="dxa"/>
            <w:tcBorders/>
            <w:vAlign w:val="center"/>
          </w:tcPr>
          <w:p>
            <w:pPr>
              <w:pStyle w:val="TableContents"/>
              <w:bidi w:val="0"/>
              <w:spacing w:before="0" w:after="283"/>
              <w:jc w:val="left"/>
              <w:rPr/>
            </w:pPr>
            <w:r>
              <w:rPr/>
              <w:t>Evaluation transparency and benchmark discipline</w:t>
            </w:r>
          </w:p>
        </w:tc>
      </w:tr>
      <w:tr>
        <w:trPr/>
        <w:tc>
          <w:tcPr>
            <w:tcW w:w="7054" w:type="dxa"/>
            <w:tcBorders/>
            <w:vAlign w:val="center"/>
          </w:tcPr>
          <w:p>
            <w:pPr>
              <w:pStyle w:val="TableContents"/>
              <w:bidi w:val="0"/>
              <w:spacing w:before="0" w:after="283"/>
              <w:jc w:val="left"/>
              <w:rPr/>
            </w:pPr>
            <w:hyperlink r:id="rId22">
              <w:r>
                <w:rPr>
                  <w:rStyle w:val="Hyperlink"/>
                </w:rPr>
                <w:t>IEEE P3709</w:t>
              </w:r>
            </w:hyperlink>
          </w:p>
        </w:tc>
        <w:tc>
          <w:tcPr>
            <w:tcW w:w="13867" w:type="dxa"/>
            <w:tcBorders/>
            <w:vAlign w:val="center"/>
          </w:tcPr>
          <w:p>
            <w:pPr>
              <w:pStyle w:val="TableContents"/>
              <w:bidi w:val="0"/>
              <w:spacing w:before="0" w:after="283"/>
              <w:jc w:val="left"/>
              <w:rPr/>
            </w:pPr>
            <w:r>
              <w:rPr/>
              <w:t xml:space="preserve">Active agentic-AI framework project to which </w:t>
            </w:r>
            <w:r>
              <w:rPr>
                <w:rStyle w:val="SourceText"/>
              </w:rPr>
              <w:t>TAK</w:t>
            </w:r>
            <w:r>
              <w:rPr/>
              <w:t xml:space="preserve"> runtime-control and conformance requirements can contribute</w:t>
            </w:r>
          </w:p>
        </w:tc>
      </w:tr>
      <w:tr>
        <w:trPr/>
        <w:tc>
          <w:tcPr>
            <w:tcW w:w="7054" w:type="dxa"/>
            <w:tcBorders/>
            <w:vAlign w:val="center"/>
          </w:tcPr>
          <w:p>
            <w:pPr>
              <w:pStyle w:val="TableContents"/>
              <w:bidi w:val="0"/>
              <w:spacing w:before="0" w:after="283"/>
              <w:jc w:val="left"/>
              <w:rPr/>
            </w:pPr>
            <w:hyperlink r:id="rId23">
              <w:r>
                <w:rPr>
                  <w:rStyle w:val="Hyperlink"/>
                </w:rPr>
                <w:t>IEEE P3833</w:t>
              </w:r>
            </w:hyperlink>
          </w:p>
        </w:tc>
        <w:tc>
          <w:tcPr>
            <w:tcW w:w="13867" w:type="dxa"/>
            <w:tcBorders/>
            <w:vAlign w:val="center"/>
          </w:tcPr>
          <w:p>
            <w:pPr>
              <w:pStyle w:val="TableContents"/>
              <w:bidi w:val="0"/>
              <w:spacing w:before="0" w:after="283"/>
              <w:jc w:val="left"/>
              <w:rPr/>
            </w:pPr>
            <w:r>
              <w:rPr/>
              <w:t xml:space="preserve">Active proactive-agent project complemented by </w:t>
            </w:r>
            <w:r>
              <w:rPr>
                <w:rStyle w:val="SourceText"/>
              </w:rPr>
              <w:t>TAK</w:t>
            </w:r>
            <w:r>
              <w:rPr/>
              <w:t xml:space="preserve"> separation of proactivity, authority, qualification, and autonomy</w:t>
            </w:r>
          </w:p>
        </w:tc>
      </w:tr>
      <w:tr>
        <w:trPr/>
        <w:tc>
          <w:tcPr>
            <w:tcW w:w="7054" w:type="dxa"/>
            <w:tcBorders/>
            <w:vAlign w:val="center"/>
          </w:tcPr>
          <w:p>
            <w:pPr>
              <w:pStyle w:val="TableContents"/>
              <w:bidi w:val="0"/>
              <w:spacing w:before="0" w:after="283"/>
              <w:jc w:val="left"/>
              <w:rPr/>
            </w:pPr>
            <w:hyperlink r:id="rId24">
              <w:r>
                <w:rPr>
                  <w:rStyle w:val="Hyperlink"/>
                </w:rPr>
                <w:t>Model Context Protocol specification</w:t>
              </w:r>
            </w:hyperlink>
          </w:p>
        </w:tc>
        <w:tc>
          <w:tcPr>
            <w:tcW w:w="13867" w:type="dxa"/>
            <w:tcBorders/>
            <w:vAlign w:val="center"/>
          </w:tcPr>
          <w:p>
            <w:pPr>
              <w:pStyle w:val="TableContents"/>
              <w:bidi w:val="0"/>
              <w:spacing w:before="0" w:after="283"/>
              <w:jc w:val="left"/>
              <w:rPr/>
            </w:pPr>
            <w:r>
              <w:rPr/>
              <w:t>Tool and context interoperability</w:t>
            </w:r>
          </w:p>
        </w:tc>
      </w:tr>
      <w:tr>
        <w:trPr/>
        <w:tc>
          <w:tcPr>
            <w:tcW w:w="7054" w:type="dxa"/>
            <w:tcBorders/>
            <w:vAlign w:val="center"/>
          </w:tcPr>
          <w:p>
            <w:pPr>
              <w:pStyle w:val="TableContents"/>
              <w:bidi w:val="0"/>
              <w:spacing w:before="0" w:after="283"/>
              <w:jc w:val="left"/>
              <w:rPr/>
            </w:pPr>
            <w:hyperlink r:id="rId25">
              <w:r>
                <w:rPr>
                  <w:rStyle w:val="Hyperlink"/>
                </w:rPr>
                <w:t>Model Context Protocol authorization specification</w:t>
              </w:r>
            </w:hyperlink>
          </w:p>
        </w:tc>
        <w:tc>
          <w:tcPr>
            <w:tcW w:w="13867" w:type="dxa"/>
            <w:tcBorders/>
            <w:vAlign w:val="center"/>
          </w:tcPr>
          <w:p>
            <w:pPr>
              <w:pStyle w:val="TableContents"/>
              <w:bidi w:val="0"/>
              <w:spacing w:before="0" w:after="283"/>
              <w:jc w:val="left"/>
              <w:rPr/>
            </w:pPr>
            <w:r>
              <w:rPr/>
              <w:t>HTTP transport authorization profile for MCP servers and clients</w:t>
            </w:r>
          </w:p>
        </w:tc>
      </w:tr>
      <w:tr>
        <w:trPr/>
        <w:tc>
          <w:tcPr>
            <w:tcW w:w="7054" w:type="dxa"/>
            <w:tcBorders/>
            <w:vAlign w:val="center"/>
          </w:tcPr>
          <w:p>
            <w:pPr>
              <w:pStyle w:val="TableContents"/>
              <w:bidi w:val="0"/>
              <w:spacing w:before="0" w:after="283"/>
              <w:jc w:val="left"/>
              <w:rPr/>
            </w:pPr>
            <w:hyperlink r:id="rId26">
              <w:r>
                <w:rPr>
                  <w:rStyle w:val="Hyperlink"/>
                </w:rPr>
                <w:t>Anthropic: Introducing the Model Context Protocol</w:t>
              </w:r>
            </w:hyperlink>
          </w:p>
        </w:tc>
        <w:tc>
          <w:tcPr>
            <w:tcW w:w="13867" w:type="dxa"/>
            <w:tcBorders/>
            <w:vAlign w:val="center"/>
          </w:tcPr>
          <w:p>
            <w:pPr>
              <w:pStyle w:val="TableContents"/>
              <w:bidi w:val="0"/>
              <w:spacing w:before="0" w:after="283"/>
              <w:jc w:val="left"/>
              <w:rPr/>
            </w:pPr>
            <w:r>
              <w:rPr/>
              <w:t>Background on MCP as an open protocol</w:t>
            </w:r>
          </w:p>
        </w:tc>
      </w:tr>
      <w:tr>
        <w:trPr/>
        <w:tc>
          <w:tcPr>
            <w:tcW w:w="7054" w:type="dxa"/>
            <w:tcBorders/>
            <w:vAlign w:val="center"/>
          </w:tcPr>
          <w:p>
            <w:pPr>
              <w:pStyle w:val="TableContents"/>
              <w:bidi w:val="0"/>
              <w:spacing w:before="0" w:after="283"/>
              <w:jc w:val="left"/>
              <w:rPr/>
            </w:pPr>
            <w:hyperlink r:id="rId27">
              <w:r>
                <w:rPr>
                  <w:rStyle w:val="Hyperlink"/>
                </w:rPr>
                <w:t>Linux Foundation: Agentic AI Foundation announcement</w:t>
              </w:r>
            </w:hyperlink>
          </w:p>
        </w:tc>
        <w:tc>
          <w:tcPr>
            <w:tcW w:w="13867" w:type="dxa"/>
            <w:tcBorders/>
            <w:vAlign w:val="center"/>
          </w:tcPr>
          <w:p>
            <w:pPr>
              <w:pStyle w:val="TableContents"/>
              <w:bidi w:val="0"/>
              <w:spacing w:before="0" w:after="283"/>
              <w:jc w:val="left"/>
              <w:rPr/>
            </w:pPr>
            <w:r>
              <w:rPr/>
              <w:t xml:space="preserve">Neutral governance venue for MCP and </w:t>
            </w:r>
            <w:r>
              <w:rPr>
                <w:rStyle w:val="SourceText"/>
              </w:rPr>
              <w:t>AGENTS.md</w:t>
            </w:r>
            <w:r>
              <w:rPr/>
              <w:t xml:space="preserve"> stewardship</w:t>
            </w:r>
          </w:p>
        </w:tc>
      </w:tr>
      <w:tr>
        <w:trPr/>
        <w:tc>
          <w:tcPr>
            <w:tcW w:w="7054" w:type="dxa"/>
            <w:tcBorders/>
            <w:vAlign w:val="center"/>
          </w:tcPr>
          <w:p>
            <w:pPr>
              <w:pStyle w:val="TableContents"/>
              <w:bidi w:val="0"/>
              <w:spacing w:before="0" w:after="283"/>
              <w:jc w:val="left"/>
              <w:rPr/>
            </w:pPr>
            <w:hyperlink r:id="rId28">
              <w:r>
                <w:rPr>
                  <w:rStyle w:val="Hyperlink"/>
                </w:rPr>
                <w:t>AGENTS.md</w:t>
              </w:r>
            </w:hyperlink>
          </w:p>
        </w:tc>
        <w:tc>
          <w:tcPr>
            <w:tcW w:w="13867" w:type="dxa"/>
            <w:tcBorders/>
            <w:vAlign w:val="center"/>
          </w:tcPr>
          <w:p>
            <w:pPr>
              <w:pStyle w:val="TableContents"/>
              <w:bidi w:val="0"/>
              <w:spacing w:before="0" w:after="283"/>
              <w:jc w:val="left"/>
              <w:rPr/>
            </w:pPr>
            <w:r>
              <w:rPr/>
              <w:t>Open declarative instruction format used across coding-agent ecosystems</w:t>
            </w:r>
          </w:p>
        </w:tc>
      </w:tr>
      <w:tr>
        <w:trPr/>
        <w:tc>
          <w:tcPr>
            <w:tcW w:w="7054" w:type="dxa"/>
            <w:tcBorders/>
            <w:vAlign w:val="center"/>
          </w:tcPr>
          <w:p>
            <w:pPr>
              <w:pStyle w:val="TableContents"/>
              <w:bidi w:val="0"/>
              <w:spacing w:before="0" w:after="283"/>
              <w:jc w:val="left"/>
              <w:rPr/>
            </w:pPr>
            <w:hyperlink r:id="rId29">
              <w:r>
                <w:rPr>
                  <w:rStyle w:val="Hyperlink"/>
                </w:rPr>
                <w:t>RFC 9728 OAuth 2.0 Protected Resource Metadata</w:t>
              </w:r>
            </w:hyperlink>
          </w:p>
        </w:tc>
        <w:tc>
          <w:tcPr>
            <w:tcW w:w="13867" w:type="dxa"/>
            <w:tcBorders/>
            <w:vAlign w:val="center"/>
          </w:tcPr>
          <w:p>
            <w:pPr>
              <w:pStyle w:val="TableContents"/>
              <w:bidi w:val="0"/>
              <w:spacing w:before="0" w:after="283"/>
              <w:jc w:val="left"/>
              <w:rPr/>
            </w:pPr>
            <w:r>
              <w:rPr/>
              <w:t>Discovery and metadata for protected resource authorization surfaces</w:t>
            </w:r>
          </w:p>
        </w:tc>
      </w:tr>
      <w:tr>
        <w:trPr/>
        <w:tc>
          <w:tcPr>
            <w:tcW w:w="7054" w:type="dxa"/>
            <w:tcBorders/>
            <w:vAlign w:val="center"/>
          </w:tcPr>
          <w:p>
            <w:pPr>
              <w:pStyle w:val="TableContents"/>
              <w:bidi w:val="0"/>
              <w:spacing w:before="0" w:after="283"/>
              <w:jc w:val="left"/>
              <w:rPr/>
            </w:pPr>
            <w:hyperlink r:id="rId30">
              <w:r>
                <w:rPr>
                  <w:rStyle w:val="Hyperlink"/>
                </w:rPr>
                <w:t>RFC 9635 Grant Negotiation and Authorization Protocol (GNAP)</w:t>
              </w:r>
            </w:hyperlink>
          </w:p>
        </w:tc>
        <w:tc>
          <w:tcPr>
            <w:tcW w:w="13867" w:type="dxa"/>
            <w:tcBorders/>
            <w:vAlign w:val="center"/>
          </w:tcPr>
          <w:p>
            <w:pPr>
              <w:pStyle w:val="TableContents"/>
              <w:bidi w:val="0"/>
              <w:spacing w:before="0" w:after="283"/>
              <w:jc w:val="left"/>
              <w:rPr/>
            </w:pPr>
            <w:r>
              <w:rPr/>
              <w:t>Negotiated delegated authorization model for dynamic access decisions</w:t>
            </w:r>
          </w:p>
        </w:tc>
      </w:tr>
      <w:tr>
        <w:trPr/>
        <w:tc>
          <w:tcPr>
            <w:tcW w:w="7054" w:type="dxa"/>
            <w:tcBorders/>
            <w:vAlign w:val="center"/>
          </w:tcPr>
          <w:p>
            <w:pPr>
              <w:pStyle w:val="TableContents"/>
              <w:bidi w:val="0"/>
              <w:spacing w:before="0" w:after="283"/>
              <w:jc w:val="left"/>
              <w:rPr/>
            </w:pPr>
            <w:hyperlink r:id="rId31">
              <w:r>
                <w:rPr>
                  <w:rStyle w:val="Hyperlink"/>
                </w:rPr>
                <w:t>RFC 9767 GNAP Resource Server Connections</w:t>
              </w:r>
            </w:hyperlink>
          </w:p>
        </w:tc>
        <w:tc>
          <w:tcPr>
            <w:tcW w:w="13867" w:type="dxa"/>
            <w:tcBorders/>
            <w:vAlign w:val="center"/>
          </w:tcPr>
          <w:p>
            <w:pPr>
              <w:pStyle w:val="TableContents"/>
              <w:bidi w:val="0"/>
              <w:spacing w:before="0" w:after="283"/>
              <w:jc w:val="left"/>
              <w:rPr/>
            </w:pPr>
            <w:r>
              <w:rPr/>
              <w:t>Resource-server-side GNAP discovery and access-right connection model</w:t>
            </w:r>
          </w:p>
        </w:tc>
      </w:tr>
      <w:tr>
        <w:trPr/>
        <w:tc>
          <w:tcPr>
            <w:tcW w:w="7054" w:type="dxa"/>
            <w:tcBorders/>
            <w:vAlign w:val="center"/>
          </w:tcPr>
          <w:p>
            <w:pPr>
              <w:pStyle w:val="TableContents"/>
              <w:bidi w:val="0"/>
              <w:spacing w:before="0" w:after="283"/>
              <w:jc w:val="left"/>
              <w:rPr/>
            </w:pPr>
            <w:hyperlink r:id="rId32">
              <w:r>
                <w:rPr>
                  <w:rStyle w:val="Hyperlink"/>
                </w:rPr>
                <w:t>RFC 9449 OAuth 2.0 Demonstrating Proof of Possession (DPoP)</w:t>
              </w:r>
            </w:hyperlink>
          </w:p>
        </w:tc>
        <w:tc>
          <w:tcPr>
            <w:tcW w:w="13867" w:type="dxa"/>
            <w:tcBorders/>
            <w:vAlign w:val="center"/>
          </w:tcPr>
          <w:p>
            <w:pPr>
              <w:pStyle w:val="TableContents"/>
              <w:bidi w:val="0"/>
              <w:spacing w:before="0" w:after="283"/>
              <w:jc w:val="left"/>
              <w:rPr/>
            </w:pPr>
            <w:r>
              <w:rPr/>
              <w:t>Sender-constrained token binding for high-assurance agent calls</w:t>
            </w:r>
          </w:p>
        </w:tc>
      </w:tr>
      <w:tr>
        <w:trPr/>
        <w:tc>
          <w:tcPr>
            <w:tcW w:w="7054" w:type="dxa"/>
            <w:tcBorders/>
            <w:vAlign w:val="center"/>
          </w:tcPr>
          <w:p>
            <w:pPr>
              <w:pStyle w:val="TableContents"/>
              <w:bidi w:val="0"/>
              <w:spacing w:before="0" w:after="283"/>
              <w:jc w:val="left"/>
              <w:rPr/>
            </w:pPr>
            <w:hyperlink r:id="rId33">
              <w:r>
                <w:rPr>
                  <w:rStyle w:val="Hyperlink"/>
                </w:rPr>
                <w:t>IETF WIMSE working group</w:t>
              </w:r>
            </w:hyperlink>
          </w:p>
        </w:tc>
        <w:tc>
          <w:tcPr>
            <w:tcW w:w="13867" w:type="dxa"/>
            <w:tcBorders/>
            <w:vAlign w:val="center"/>
          </w:tcPr>
          <w:p>
            <w:pPr>
              <w:pStyle w:val="TableContents"/>
              <w:bidi w:val="0"/>
              <w:spacing w:before="0" w:after="283"/>
              <w:jc w:val="left"/>
              <w:rPr/>
            </w:pPr>
            <w:r>
              <w:rPr/>
              <w:t>Workload identity, credentials, and authentication substrate for multi-system and agent deployments</w:t>
            </w:r>
          </w:p>
        </w:tc>
      </w:tr>
      <w:tr>
        <w:trPr/>
        <w:tc>
          <w:tcPr>
            <w:tcW w:w="7054" w:type="dxa"/>
            <w:tcBorders/>
            <w:vAlign w:val="center"/>
          </w:tcPr>
          <w:p>
            <w:pPr>
              <w:pStyle w:val="TableContents"/>
              <w:bidi w:val="0"/>
              <w:spacing w:before="0" w:after="283"/>
              <w:jc w:val="left"/>
              <w:rPr/>
            </w:pPr>
            <w:hyperlink r:id="rId34">
              <w:r>
                <w:rPr>
                  <w:rStyle w:val="Hyperlink"/>
                </w:rPr>
                <w:t>AI Agent Authentication and Authorization</w:t>
              </w:r>
            </w:hyperlink>
          </w:p>
        </w:tc>
        <w:tc>
          <w:tcPr>
            <w:tcW w:w="13867" w:type="dxa"/>
            <w:tcBorders/>
            <w:vAlign w:val="center"/>
          </w:tcPr>
          <w:p>
            <w:pPr>
              <w:pStyle w:val="TableContents"/>
              <w:bidi w:val="0"/>
              <w:spacing w:before="0" w:after="283"/>
              <w:jc w:val="left"/>
              <w:rPr/>
            </w:pPr>
            <w:r>
              <w:rPr/>
              <w:t xml:space="preserve">Active IETF draft for agent identity and delegated authorization; protocol substrate rather than a substitute for </w:t>
            </w:r>
            <w:r>
              <w:rPr>
                <w:rStyle w:val="SourceText"/>
              </w:rPr>
              <w:t>TAK</w:t>
            </w:r>
            <w:r>
              <w:rPr/>
              <w:t xml:space="preserve"> runtime policy</w:t>
            </w:r>
          </w:p>
        </w:tc>
      </w:tr>
      <w:tr>
        <w:trPr/>
        <w:tc>
          <w:tcPr>
            <w:tcW w:w="7054" w:type="dxa"/>
            <w:tcBorders/>
            <w:vAlign w:val="center"/>
          </w:tcPr>
          <w:p>
            <w:pPr>
              <w:pStyle w:val="TableContents"/>
              <w:bidi w:val="0"/>
              <w:spacing w:before="0" w:after="283"/>
              <w:jc w:val="left"/>
              <w:rPr/>
            </w:pPr>
            <w:hyperlink r:id="rId35">
              <w:r>
                <w:rPr>
                  <w:rStyle w:val="Hyperlink"/>
                </w:rPr>
                <w:t>Signed Authorization-Evidence Records for AI Agent Actions</w:t>
              </w:r>
            </w:hyperlink>
          </w:p>
        </w:tc>
        <w:tc>
          <w:tcPr>
            <w:tcW w:w="13867" w:type="dxa"/>
            <w:tcBorders/>
            <w:vAlign w:val="center"/>
          </w:tcPr>
          <w:p>
            <w:pPr>
              <w:pStyle w:val="TableContents"/>
              <w:bidi w:val="0"/>
              <w:spacing w:before="0" w:after="283"/>
              <w:jc w:val="left"/>
              <w:rPr/>
            </w:pPr>
            <w:r>
              <w:rPr/>
              <w:t>Active IETF draft aligned with attributable authorization and action evidence</w:t>
            </w:r>
          </w:p>
        </w:tc>
      </w:tr>
      <w:tr>
        <w:trPr/>
        <w:tc>
          <w:tcPr>
            <w:tcW w:w="7054" w:type="dxa"/>
            <w:tcBorders/>
            <w:vAlign w:val="center"/>
          </w:tcPr>
          <w:p>
            <w:pPr>
              <w:pStyle w:val="TableContents"/>
              <w:bidi w:val="0"/>
              <w:spacing w:before="0" w:after="283"/>
              <w:jc w:val="left"/>
              <w:rPr/>
            </w:pPr>
            <w:hyperlink r:id="rId36">
              <w:r>
                <w:rPr>
                  <w:rStyle w:val="Hyperlink"/>
                </w:rPr>
                <w:t>OpenAI Preparedness Framework</w:t>
              </w:r>
            </w:hyperlink>
          </w:p>
        </w:tc>
        <w:tc>
          <w:tcPr>
            <w:tcW w:w="13867" w:type="dxa"/>
            <w:tcBorders/>
            <w:vAlign w:val="center"/>
          </w:tcPr>
          <w:p>
            <w:pPr>
              <w:pStyle w:val="TableContents"/>
              <w:bidi w:val="0"/>
              <w:spacing w:before="0" w:after="283"/>
              <w:jc w:val="left"/>
              <w:rPr/>
            </w:pPr>
            <w:r>
              <w:rPr/>
              <w:t xml:space="preserve">Frontier-model safety governance prior art, useful for scoping what </w:t>
            </w:r>
            <w:r>
              <w:rPr>
                <w:rStyle w:val="SourceText"/>
              </w:rPr>
              <w:t>TAK</w:t>
            </w:r>
            <w:r>
              <w:rPr/>
              <w:t xml:space="preserve"> does and does not standardize</w:t>
            </w:r>
          </w:p>
        </w:tc>
      </w:tr>
      <w:tr>
        <w:trPr/>
        <w:tc>
          <w:tcPr>
            <w:tcW w:w="7054" w:type="dxa"/>
            <w:tcBorders/>
            <w:vAlign w:val="center"/>
          </w:tcPr>
          <w:p>
            <w:pPr>
              <w:pStyle w:val="TableContents"/>
              <w:bidi w:val="0"/>
              <w:spacing w:before="0" w:after="283"/>
              <w:jc w:val="left"/>
              <w:rPr/>
            </w:pPr>
            <w:hyperlink r:id="rId37">
              <w:r>
                <w:rPr>
                  <w:rStyle w:val="Hyperlink"/>
                </w:rPr>
                <w:t>Anthropic Responsible Scaling Policy</w:t>
              </w:r>
            </w:hyperlink>
          </w:p>
        </w:tc>
        <w:tc>
          <w:tcPr>
            <w:tcW w:w="13867" w:type="dxa"/>
            <w:tcBorders/>
            <w:vAlign w:val="center"/>
          </w:tcPr>
          <w:p>
            <w:pPr>
              <w:pStyle w:val="TableContents"/>
              <w:bidi w:val="0"/>
              <w:spacing w:before="0" w:after="283"/>
              <w:jc w:val="left"/>
              <w:rPr/>
            </w:pPr>
            <w:r>
              <w:rPr/>
              <w:t>Frontier-model safety and deployment governance prior art, complementary rather than substitutive to runtime kernel controls</w:t>
            </w:r>
          </w:p>
        </w:tc>
      </w:tr>
      <w:tr>
        <w:trPr/>
        <w:tc>
          <w:tcPr>
            <w:tcW w:w="7054" w:type="dxa"/>
            <w:tcBorders/>
            <w:vAlign w:val="center"/>
          </w:tcPr>
          <w:p>
            <w:pPr>
              <w:pStyle w:val="TableContents"/>
              <w:bidi w:val="0"/>
              <w:spacing w:before="0" w:after="283"/>
              <w:jc w:val="left"/>
              <w:rPr/>
            </w:pPr>
            <w:hyperlink r:id="rId38">
              <w:r>
                <w:rPr>
                  <w:rStyle w:val="Hyperlink"/>
                </w:rPr>
                <w:t>Google DeepMind Frontier Safety Framework</w:t>
              </w:r>
            </w:hyperlink>
          </w:p>
        </w:tc>
        <w:tc>
          <w:tcPr>
            <w:tcW w:w="13867" w:type="dxa"/>
            <w:tcBorders/>
            <w:vAlign w:val="center"/>
          </w:tcPr>
          <w:p>
            <w:pPr>
              <w:pStyle w:val="TableContents"/>
              <w:bidi w:val="0"/>
              <w:spacing w:before="0" w:after="283"/>
              <w:jc w:val="left"/>
              <w:rPr/>
            </w:pPr>
            <w:r>
              <w:rPr/>
              <w:t>Model-level severe-risk framework used to distinguish model governance from runtime governance</w:t>
            </w:r>
          </w:p>
        </w:tc>
      </w:tr>
      <w:tr>
        <w:trPr/>
        <w:tc>
          <w:tcPr>
            <w:tcW w:w="7054" w:type="dxa"/>
            <w:tcBorders/>
            <w:vAlign w:val="center"/>
          </w:tcPr>
          <w:p>
            <w:pPr>
              <w:pStyle w:val="TableContents"/>
              <w:bidi w:val="0"/>
              <w:spacing w:before="0" w:after="283"/>
              <w:jc w:val="left"/>
              <w:rPr/>
            </w:pPr>
            <w:hyperlink r:id="rId39">
              <w:r>
                <w:rPr>
                  <w:rStyle w:val="Hyperlink"/>
                </w:rPr>
                <w:t>CoSAI: Agentic Identity and Access Management</w:t>
              </w:r>
            </w:hyperlink>
          </w:p>
        </w:tc>
        <w:tc>
          <w:tcPr>
            <w:tcW w:w="13867" w:type="dxa"/>
            <w:tcBorders/>
            <w:vAlign w:val="center"/>
          </w:tcPr>
          <w:p>
            <w:pPr>
              <w:pStyle w:val="TableContents"/>
              <w:bidi w:val="0"/>
              <w:spacing w:before="0" w:after="283"/>
              <w:jc w:val="left"/>
              <w:rPr/>
            </w:pPr>
            <w:r>
              <w:rPr/>
              <w:t>Agentic IAM control framing aligned to enterprise runtime operation</w:t>
            </w:r>
          </w:p>
        </w:tc>
      </w:tr>
      <w:tr>
        <w:trPr/>
        <w:tc>
          <w:tcPr>
            <w:tcW w:w="7054" w:type="dxa"/>
            <w:tcBorders/>
            <w:vAlign w:val="center"/>
          </w:tcPr>
          <w:p>
            <w:pPr>
              <w:pStyle w:val="TableContents"/>
              <w:bidi w:val="0"/>
              <w:spacing w:before="0" w:after="283"/>
              <w:jc w:val="left"/>
              <w:rPr/>
            </w:pPr>
            <w:hyperlink r:id="rId40">
              <w:r>
                <w:rPr>
                  <w:rStyle w:val="Hyperlink"/>
                </w:rPr>
                <w:t>OWASP Top 10 for Agentic Applications</w:t>
              </w:r>
            </w:hyperlink>
          </w:p>
        </w:tc>
        <w:tc>
          <w:tcPr>
            <w:tcW w:w="13867" w:type="dxa"/>
            <w:tcBorders/>
            <w:vAlign w:val="center"/>
          </w:tcPr>
          <w:p>
            <w:pPr>
              <w:pStyle w:val="TableContents"/>
              <w:bidi w:val="0"/>
              <w:spacing w:before="0" w:after="283"/>
              <w:jc w:val="left"/>
              <w:rPr/>
            </w:pPr>
            <w:r>
              <w:rPr/>
              <w:t>Concrete agentic risk taxonomy and mitigation guidance</w:t>
            </w:r>
          </w:p>
        </w:tc>
      </w:tr>
      <w:tr>
        <w:trPr/>
        <w:tc>
          <w:tcPr>
            <w:tcW w:w="7054" w:type="dxa"/>
            <w:tcBorders/>
            <w:vAlign w:val="center"/>
          </w:tcPr>
          <w:p>
            <w:pPr>
              <w:pStyle w:val="TableContents"/>
              <w:bidi w:val="0"/>
              <w:spacing w:before="0" w:after="283"/>
              <w:jc w:val="left"/>
              <w:rPr/>
            </w:pPr>
            <w:hyperlink r:id="rId41">
              <w:r>
                <w:rPr>
                  <w:rStyle w:val="Hyperlink"/>
                </w:rPr>
                <w:t>W3C Trace Context</w:t>
              </w:r>
            </w:hyperlink>
          </w:p>
        </w:tc>
        <w:tc>
          <w:tcPr>
            <w:tcW w:w="13867" w:type="dxa"/>
            <w:tcBorders/>
            <w:vAlign w:val="center"/>
          </w:tcPr>
          <w:p>
            <w:pPr>
              <w:pStyle w:val="TableContents"/>
              <w:bidi w:val="0"/>
              <w:spacing w:before="0" w:after="283"/>
              <w:jc w:val="left"/>
              <w:rPr/>
            </w:pPr>
            <w:r>
              <w:rPr/>
              <w:t>Cross-system trace propagation</w:t>
            </w:r>
          </w:p>
        </w:tc>
      </w:tr>
      <w:tr>
        <w:trPr/>
        <w:tc>
          <w:tcPr>
            <w:tcW w:w="7054" w:type="dxa"/>
            <w:tcBorders/>
            <w:vAlign w:val="center"/>
          </w:tcPr>
          <w:p>
            <w:pPr>
              <w:pStyle w:val="TableContents"/>
              <w:bidi w:val="0"/>
              <w:spacing w:before="0" w:after="283"/>
              <w:jc w:val="left"/>
              <w:rPr/>
            </w:pPr>
            <w:hyperlink r:id="rId42">
              <w:r>
                <w:rPr>
                  <w:rStyle w:val="Hyperlink"/>
                </w:rPr>
                <w:t>RFC 9421 HTTP Message Signatures</w:t>
              </w:r>
            </w:hyperlink>
          </w:p>
        </w:tc>
        <w:tc>
          <w:tcPr>
            <w:tcW w:w="13867" w:type="dxa"/>
            <w:tcBorders/>
            <w:vAlign w:val="center"/>
          </w:tcPr>
          <w:p>
            <w:pPr>
              <w:pStyle w:val="TableContents"/>
              <w:bidi w:val="0"/>
              <w:spacing w:before="0" w:after="283"/>
              <w:jc w:val="left"/>
              <w:rPr/>
            </w:pPr>
            <w:r>
              <w:rPr/>
              <w:t>Message-level signatures for integrity and non-repudiation</w:t>
            </w:r>
          </w:p>
        </w:tc>
      </w:tr>
      <w:tr>
        <w:trPr/>
        <w:tc>
          <w:tcPr>
            <w:tcW w:w="7054" w:type="dxa"/>
            <w:tcBorders/>
            <w:vAlign w:val="center"/>
          </w:tcPr>
          <w:p>
            <w:pPr>
              <w:pStyle w:val="TableContents"/>
              <w:bidi w:val="0"/>
              <w:spacing w:before="0" w:after="283"/>
              <w:jc w:val="left"/>
              <w:rPr/>
            </w:pPr>
            <w:hyperlink r:id="rId43">
              <w:r>
                <w:rPr>
                  <w:rStyle w:val="Hyperlink"/>
                </w:rPr>
                <w:t>in-toto Attestation Framework Specification</w:t>
              </w:r>
            </w:hyperlink>
          </w:p>
        </w:tc>
        <w:tc>
          <w:tcPr>
            <w:tcW w:w="13867" w:type="dxa"/>
            <w:tcBorders/>
            <w:vAlign w:val="center"/>
          </w:tcPr>
          <w:p>
            <w:pPr>
              <w:pStyle w:val="TableContents"/>
              <w:bidi w:val="0"/>
              <w:spacing w:before="0" w:after="283"/>
              <w:jc w:val="left"/>
              <w:rPr/>
            </w:pPr>
            <w:r>
              <w:rPr/>
              <w:t>Practical attestation statement and envelope model for signed evidence</w:t>
            </w:r>
          </w:p>
        </w:tc>
      </w:tr>
      <w:tr>
        <w:trPr/>
        <w:tc>
          <w:tcPr>
            <w:tcW w:w="7054" w:type="dxa"/>
            <w:tcBorders/>
            <w:vAlign w:val="center"/>
          </w:tcPr>
          <w:p>
            <w:pPr>
              <w:pStyle w:val="TableContents"/>
              <w:bidi w:val="0"/>
              <w:spacing w:before="0" w:after="283"/>
              <w:jc w:val="left"/>
              <w:rPr/>
            </w:pPr>
            <w:hyperlink r:id="rId44">
              <w:r>
                <w:rPr>
                  <w:rStyle w:val="Hyperlink"/>
                </w:rPr>
                <w:t>Sigstore Documentation</w:t>
              </w:r>
            </w:hyperlink>
          </w:p>
        </w:tc>
        <w:tc>
          <w:tcPr>
            <w:tcW w:w="13867" w:type="dxa"/>
            <w:tcBorders/>
            <w:vAlign w:val="center"/>
          </w:tcPr>
          <w:p>
            <w:pPr>
              <w:pStyle w:val="TableContents"/>
              <w:bidi w:val="0"/>
              <w:spacing w:before="0" w:after="283"/>
              <w:jc w:val="left"/>
              <w:rPr/>
            </w:pPr>
            <w:r>
              <w:rPr/>
              <w:t>Operational signing, transparency, and verification substrate for attestations and release evidence</w:t>
            </w:r>
          </w:p>
        </w:tc>
      </w:tr>
      <w:tr>
        <w:trPr/>
        <w:tc>
          <w:tcPr>
            <w:tcW w:w="7054" w:type="dxa"/>
            <w:tcBorders/>
            <w:vAlign w:val="center"/>
          </w:tcPr>
          <w:p>
            <w:pPr>
              <w:pStyle w:val="TableContents"/>
              <w:bidi w:val="0"/>
              <w:spacing w:before="0" w:after="283"/>
              <w:jc w:val="left"/>
              <w:rPr/>
            </w:pPr>
            <w:hyperlink r:id="rId45">
              <w:r>
                <w:rPr>
                  <w:rStyle w:val="Hyperlink"/>
                </w:rPr>
                <w:t>CSA MAESTRO</w:t>
              </w:r>
            </w:hyperlink>
          </w:p>
        </w:tc>
        <w:tc>
          <w:tcPr>
            <w:tcW w:w="13867" w:type="dxa"/>
            <w:tcBorders/>
            <w:vAlign w:val="center"/>
          </w:tcPr>
          <w:p>
            <w:pPr>
              <w:pStyle w:val="TableContents"/>
              <w:bidi w:val="0"/>
              <w:spacing w:before="0" w:after="283"/>
              <w:jc w:val="left"/>
              <w:rPr/>
            </w:pPr>
            <w:r>
              <w:rPr/>
              <w:t>Agentic AI threat-modeling framework</w:t>
            </w:r>
          </w:p>
        </w:tc>
      </w:tr>
      <w:tr>
        <w:trPr/>
        <w:tc>
          <w:tcPr>
            <w:tcW w:w="7054" w:type="dxa"/>
            <w:tcBorders/>
            <w:vAlign w:val="center"/>
          </w:tcPr>
          <w:p>
            <w:pPr>
              <w:pStyle w:val="TableContents"/>
              <w:bidi w:val="0"/>
              <w:spacing w:before="0" w:after="283"/>
              <w:jc w:val="left"/>
              <w:rPr/>
            </w:pPr>
            <w:hyperlink r:id="rId46">
              <w:r>
                <w:rPr>
                  <w:rStyle w:val="Hyperlink"/>
                </w:rPr>
                <w:t>MITRE ATLAS</w:t>
              </w:r>
            </w:hyperlink>
          </w:p>
        </w:tc>
        <w:tc>
          <w:tcPr>
            <w:tcW w:w="13867" w:type="dxa"/>
            <w:tcBorders/>
            <w:vAlign w:val="center"/>
          </w:tcPr>
          <w:p>
            <w:pPr>
              <w:pStyle w:val="TableContents"/>
              <w:bidi w:val="0"/>
              <w:spacing w:before="0" w:after="283"/>
              <w:jc w:val="left"/>
              <w:rPr/>
            </w:pPr>
            <w:r>
              <w:rPr/>
              <w:t>Adversarial tactics and techniques knowledge base for AI systems</w:t>
            </w:r>
          </w:p>
        </w:tc>
      </w:tr>
      <w:tr>
        <w:trPr/>
        <w:tc>
          <w:tcPr>
            <w:tcW w:w="7054" w:type="dxa"/>
            <w:tcBorders/>
            <w:vAlign w:val="center"/>
          </w:tcPr>
          <w:p>
            <w:pPr>
              <w:pStyle w:val="TableContents"/>
              <w:bidi w:val="0"/>
              <w:spacing w:before="0" w:after="283"/>
              <w:jc w:val="left"/>
              <w:rPr/>
            </w:pPr>
            <w:hyperlink r:id="rId47">
              <w:r>
                <w:rPr>
                  <w:rStyle w:val="Hyperlink"/>
                </w:rPr>
                <w:t>IMDA Model AI Governance Framework for Agentic AI</w:t>
              </w:r>
            </w:hyperlink>
          </w:p>
        </w:tc>
        <w:tc>
          <w:tcPr>
            <w:tcW w:w="13867" w:type="dxa"/>
            <w:tcBorders/>
            <w:vAlign w:val="center"/>
          </w:tcPr>
          <w:p>
            <w:pPr>
              <w:pStyle w:val="TableContents"/>
              <w:bidi w:val="0"/>
              <w:spacing w:before="0" w:after="283"/>
              <w:jc w:val="left"/>
              <w:rPr/>
            </w:pPr>
            <w:r>
              <w:rPr/>
              <w:t>National governance framework for agentic AI deployment</w:t>
            </w:r>
          </w:p>
        </w:tc>
      </w:tr>
      <w:tr>
        <w:trPr/>
        <w:tc>
          <w:tcPr>
            <w:tcW w:w="7054" w:type="dxa"/>
            <w:tcBorders/>
            <w:vAlign w:val="center"/>
          </w:tcPr>
          <w:p>
            <w:pPr>
              <w:pStyle w:val="TableContents"/>
              <w:bidi w:val="0"/>
              <w:spacing w:before="0" w:after="283"/>
              <w:jc w:val="left"/>
              <w:rPr/>
            </w:pPr>
            <w:hyperlink r:id="rId48">
              <w:r>
                <w:rPr>
                  <w:rStyle w:val="Hyperlink"/>
                </w:rPr>
                <w:t>ISO/IEC 12792:2025</w:t>
              </w:r>
            </w:hyperlink>
          </w:p>
        </w:tc>
        <w:tc>
          <w:tcPr>
            <w:tcW w:w="13867" w:type="dxa"/>
            <w:tcBorders/>
            <w:vAlign w:val="center"/>
          </w:tcPr>
          <w:p>
            <w:pPr>
              <w:pStyle w:val="TableContents"/>
              <w:bidi w:val="0"/>
              <w:spacing w:before="0" w:after="283"/>
              <w:jc w:val="left"/>
              <w:rPr/>
            </w:pPr>
            <w:r>
              <w:rPr/>
              <w:t>Transparency taxonomy for AI systems</w:t>
            </w:r>
          </w:p>
        </w:tc>
      </w:tr>
      <w:tr>
        <w:trPr/>
        <w:tc>
          <w:tcPr>
            <w:tcW w:w="7054" w:type="dxa"/>
            <w:tcBorders/>
            <w:vAlign w:val="center"/>
          </w:tcPr>
          <w:p>
            <w:pPr>
              <w:pStyle w:val="TableContents"/>
              <w:bidi w:val="0"/>
              <w:spacing w:before="0" w:after="283"/>
              <w:jc w:val="left"/>
              <w:rPr/>
            </w:pPr>
            <w:hyperlink r:id="rId49">
              <w:r>
                <w:rPr>
                  <w:rStyle w:val="Hyperlink"/>
                </w:rPr>
                <w:t>ISO/IEC DIS 42102</w:t>
              </w:r>
            </w:hyperlink>
          </w:p>
        </w:tc>
        <w:tc>
          <w:tcPr>
            <w:tcW w:w="13867" w:type="dxa"/>
            <w:tcBorders/>
            <w:vAlign w:val="center"/>
          </w:tcPr>
          <w:p>
            <w:pPr>
              <w:pStyle w:val="TableContents"/>
              <w:bidi w:val="0"/>
              <w:spacing w:before="0" w:after="283"/>
              <w:jc w:val="left"/>
              <w:rPr/>
            </w:pPr>
            <w:r>
              <w:rPr/>
              <w:t>Framework for characterizing AI system methods and capabilities</w:t>
            </w:r>
          </w:p>
        </w:tc>
      </w:tr>
    </w:tbl>
    <w:p>
      <w:pPr>
        <w:pStyle w:val="Heading3"/>
        <w:bidi w:val="0"/>
        <w:jc w:val="left"/>
        <w:rPr/>
      </w:pPr>
      <w:r>
        <w:rPr/>
        <w:t>3.3 Reuse and Profiling Rule</w:t>
      </w:r>
    </w:p>
    <w:p>
      <w:pPr>
        <w:pStyle w:val="BodyText"/>
        <w:bidi w:val="0"/>
        <w:jc w:val="left"/>
        <w:rPr/>
      </w:pPr>
      <w:r>
        <w:rPr>
          <w:rStyle w:val="SourceText"/>
        </w:rPr>
        <w:t>TAK</w:t>
      </w:r>
      <w:r>
        <w:rPr/>
        <w:t xml:space="preserve"> is intended to compose adjacent standards, not replace them.</w:t>
      </w:r>
    </w:p>
    <w:p>
      <w:pPr>
        <w:pStyle w:val="BodyText"/>
        <w:bidi w:val="0"/>
        <w:jc w:val="left"/>
        <w:rPr/>
      </w:pPr>
      <w:r>
        <w:rPr/>
        <w:t>Accordingly:</w:t>
      </w:r>
    </w:p>
    <w:p>
      <w:pPr>
        <w:pStyle w:val="BodyText"/>
        <w:numPr>
          <w:ilvl w:val="0"/>
          <w:numId w:val="8"/>
        </w:numPr>
        <w:tabs>
          <w:tab w:val="clear" w:pos="1134"/>
          <w:tab w:val="left" w:pos="709" w:leader="none"/>
        </w:tabs>
        <w:bidi w:val="0"/>
        <w:spacing w:before="0" w:after="0"/>
        <w:ind w:hanging="283" w:left="709"/>
        <w:jc w:val="left"/>
        <w:rPr/>
      </w:pPr>
      <w:r>
        <w:rPr>
          <w:rStyle w:val="SourceText"/>
        </w:rPr>
        <w:t>TAK</w:t>
      </w:r>
      <w:r>
        <w:rPr/>
        <w:t xml:space="preserve"> </w:t>
      </w:r>
      <w:r>
        <w:rPr>
          <w:rStyle w:val="SourceText"/>
        </w:rPr>
        <w:t>MUST</w:t>
      </w:r>
      <w:r>
        <w:rPr/>
        <w:t xml:space="preserve"> adopt an existing standard directly where that standard already defines the relevant control surface well </w:t>
      </w:r>
    </w:p>
    <w:p>
      <w:pPr>
        <w:pStyle w:val="BodyText"/>
        <w:numPr>
          <w:ilvl w:val="0"/>
          <w:numId w:val="8"/>
        </w:numPr>
        <w:tabs>
          <w:tab w:val="clear" w:pos="1134"/>
          <w:tab w:val="left" w:pos="709" w:leader="none"/>
        </w:tabs>
        <w:bidi w:val="0"/>
        <w:spacing w:before="0" w:after="0"/>
        <w:ind w:hanging="283" w:left="709"/>
        <w:jc w:val="left"/>
        <w:rPr/>
      </w:pPr>
      <w:r>
        <w:rPr>
          <w:rStyle w:val="SourceText"/>
        </w:rPr>
        <w:t>TAK</w:t>
      </w:r>
      <w:r>
        <w:rPr/>
        <w:t xml:space="preserve"> </w:t>
      </w:r>
      <w:r>
        <w:rPr>
          <w:rStyle w:val="SourceText"/>
        </w:rPr>
        <w:t>SHOULD</w:t>
      </w:r>
      <w:r>
        <w:rPr/>
        <w:t xml:space="preserve"> define a profile when an existing standard is useful but needs agent-runtime-specific constraints </w:t>
      </w:r>
    </w:p>
    <w:p>
      <w:pPr>
        <w:pStyle w:val="BodyText"/>
        <w:numPr>
          <w:ilvl w:val="0"/>
          <w:numId w:val="8"/>
        </w:numPr>
        <w:tabs>
          <w:tab w:val="clear" w:pos="1134"/>
          <w:tab w:val="left" w:pos="709" w:leader="none"/>
        </w:tabs>
        <w:bidi w:val="0"/>
        <w:spacing w:before="0" w:after="0"/>
        <w:ind w:hanging="283" w:left="709"/>
        <w:jc w:val="left"/>
        <w:rPr/>
      </w:pPr>
      <w:r>
        <w:rPr>
          <w:rStyle w:val="SourceText"/>
        </w:rPr>
        <w:t>TAK</w:t>
      </w:r>
      <w:r>
        <w:rPr/>
        <w:t xml:space="preserve"> </w:t>
      </w:r>
      <w:r>
        <w:rPr>
          <w:rStyle w:val="SourceText"/>
        </w:rPr>
        <w:t>MUST NOT</w:t>
      </w:r>
      <w:r>
        <w:rPr/>
        <w:t xml:space="preserve"> redefine transport, directory, credential, or trace standards merely because they are used by AI agents </w:t>
      </w:r>
    </w:p>
    <w:p>
      <w:pPr>
        <w:pStyle w:val="BodyText"/>
        <w:numPr>
          <w:ilvl w:val="0"/>
          <w:numId w:val="8"/>
        </w:numPr>
        <w:tabs>
          <w:tab w:val="clear" w:pos="1134"/>
          <w:tab w:val="left" w:pos="709" w:leader="none"/>
        </w:tabs>
        <w:bidi w:val="0"/>
        <w:ind w:hanging="283" w:left="709"/>
        <w:jc w:val="left"/>
        <w:rPr/>
      </w:pPr>
      <w:r>
        <w:rPr>
          <w:rStyle w:val="SourceText"/>
        </w:rPr>
        <w:t>TAK</w:t>
      </w:r>
      <w:r>
        <w:rPr/>
        <w:t xml:space="preserve"> </w:t>
      </w:r>
      <w:r>
        <w:rPr>
          <w:rStyle w:val="SourceText"/>
        </w:rPr>
        <w:t>MAY</w:t>
      </w:r>
      <w:r>
        <w:rPr/>
        <w:t xml:space="preserve"> define new runtime semantics only where the agent-governance problem is not already solved elsewhere </w:t>
      </w:r>
    </w:p>
    <w:p>
      <w:pPr>
        <w:pStyle w:val="BodyText"/>
        <w:bidi w:val="0"/>
        <w:jc w:val="left"/>
        <w:rPr/>
      </w:pPr>
      <w:r>
        <w:rPr/>
        <w:t>In practice this means:</w:t>
      </w:r>
    </w:p>
    <w:p>
      <w:pPr>
        <w:pStyle w:val="BodyText"/>
        <w:numPr>
          <w:ilvl w:val="0"/>
          <w:numId w:val="9"/>
        </w:numPr>
        <w:tabs>
          <w:tab w:val="clear" w:pos="1134"/>
          <w:tab w:val="left" w:pos="709" w:leader="none"/>
        </w:tabs>
        <w:bidi w:val="0"/>
        <w:spacing w:before="0" w:after="0"/>
        <w:ind w:hanging="283" w:left="709"/>
        <w:jc w:val="left"/>
        <w:rPr/>
      </w:pPr>
      <w:r>
        <w:rPr>
          <w:rStyle w:val="SourceText"/>
        </w:rPr>
        <w:t>MCP</w:t>
      </w:r>
      <w:r>
        <w:rPr/>
        <w:t xml:space="preserve"> and </w:t>
      </w:r>
      <w:r>
        <w:rPr>
          <w:rStyle w:val="SourceText"/>
        </w:rPr>
        <w:t>A2A</w:t>
      </w:r>
      <w:r>
        <w:rPr/>
        <w:t xml:space="preserve"> are protocol-profile targets, not substitutes for runtime governance </w:t>
      </w:r>
    </w:p>
    <w:p>
      <w:pPr>
        <w:pStyle w:val="BodyText"/>
        <w:numPr>
          <w:ilvl w:val="0"/>
          <w:numId w:val="9"/>
        </w:numPr>
        <w:tabs>
          <w:tab w:val="clear" w:pos="1134"/>
          <w:tab w:val="left" w:pos="709" w:leader="none"/>
        </w:tabs>
        <w:bidi w:val="0"/>
        <w:spacing w:before="0" w:after="0"/>
        <w:ind w:hanging="283" w:left="709"/>
        <w:jc w:val="left"/>
        <w:rPr/>
      </w:pPr>
      <w:r>
        <w:rPr>
          <w:rStyle w:val="SourceText"/>
        </w:rPr>
        <w:t>MCP</w:t>
      </w:r>
      <w:r>
        <w:rPr/>
        <w:t xml:space="preserve"> authorization and discovery mechanisms define transport-facing auth behavior; </w:t>
      </w:r>
      <w:r>
        <w:rPr>
          <w:rStyle w:val="SourceText"/>
        </w:rPr>
        <w:t>TAK</w:t>
      </w:r>
      <w:r>
        <w:rPr/>
        <w:t xml:space="preserve"> defines the runtime policy and evidence semantics layered behind them </w:t>
      </w:r>
    </w:p>
    <w:p>
      <w:pPr>
        <w:pStyle w:val="BodyText"/>
        <w:numPr>
          <w:ilvl w:val="0"/>
          <w:numId w:val="9"/>
        </w:numPr>
        <w:tabs>
          <w:tab w:val="clear" w:pos="1134"/>
          <w:tab w:val="left" w:pos="709" w:leader="none"/>
        </w:tabs>
        <w:bidi w:val="0"/>
        <w:spacing w:before="0" w:after="0"/>
        <w:ind w:hanging="283" w:left="709"/>
        <w:jc w:val="left"/>
        <w:rPr/>
      </w:pPr>
      <w:r>
        <w:rPr>
          <w:rStyle w:val="SourceText"/>
        </w:rPr>
        <w:t>W3C Trace Context</w:t>
      </w:r>
      <w:r>
        <w:rPr/>
        <w:t xml:space="preserve"> is the default correlation carrier for cross-system execution traces </w:t>
      </w:r>
    </w:p>
    <w:p>
      <w:pPr>
        <w:pStyle w:val="BodyText"/>
        <w:numPr>
          <w:ilvl w:val="0"/>
          <w:numId w:val="9"/>
        </w:numPr>
        <w:tabs>
          <w:tab w:val="clear" w:pos="1134"/>
          <w:tab w:val="left" w:pos="709" w:leader="none"/>
        </w:tabs>
        <w:bidi w:val="0"/>
        <w:spacing w:before="0" w:after="0"/>
        <w:ind w:hanging="283" w:left="709"/>
        <w:jc w:val="left"/>
        <w:rPr/>
      </w:pPr>
      <w:r>
        <w:rPr>
          <w:rStyle w:val="SourceText"/>
        </w:rPr>
        <w:t>RFC 9421</w:t>
      </w:r>
      <w:r>
        <w:rPr/>
        <w:t xml:space="preserve"> is the preferred message-signing basis where </w:t>
      </w:r>
      <w:r>
        <w:rPr>
          <w:rStyle w:val="SourceText"/>
        </w:rPr>
        <w:t>TAK</w:t>
      </w:r>
      <w:r>
        <w:rPr/>
        <w:t xml:space="preserve"> evidence crosses HTTP trust boundaries </w:t>
      </w:r>
    </w:p>
    <w:p>
      <w:pPr>
        <w:pStyle w:val="BodyText"/>
        <w:numPr>
          <w:ilvl w:val="0"/>
          <w:numId w:val="9"/>
        </w:numPr>
        <w:tabs>
          <w:tab w:val="clear" w:pos="1134"/>
          <w:tab w:val="left" w:pos="709" w:leader="none"/>
        </w:tabs>
        <w:bidi w:val="0"/>
        <w:spacing w:before="0" w:after="0"/>
        <w:ind w:hanging="283" w:left="709"/>
        <w:jc w:val="left"/>
        <w:rPr/>
      </w:pPr>
      <w:r>
        <w:rPr/>
        <w:t xml:space="preserve">declarative instruction artifacts such as </w:t>
      </w:r>
      <w:r>
        <w:rPr>
          <w:rStyle w:val="SourceText"/>
        </w:rPr>
        <w:t>AGENTS.md</w:t>
      </w:r>
      <w:r>
        <w:rPr/>
        <w:t xml:space="preserve"> may complement runtime governance, but they do not replace kernel-governed control metadata </w:t>
      </w:r>
    </w:p>
    <w:p>
      <w:pPr>
        <w:pStyle w:val="BodyText"/>
        <w:numPr>
          <w:ilvl w:val="0"/>
          <w:numId w:val="9"/>
        </w:numPr>
        <w:tabs>
          <w:tab w:val="clear" w:pos="1134"/>
          <w:tab w:val="left" w:pos="709" w:leader="none"/>
        </w:tabs>
        <w:bidi w:val="0"/>
        <w:ind w:hanging="283" w:left="709"/>
        <w:jc w:val="left"/>
        <w:rPr/>
      </w:pPr>
      <w:r>
        <w:rPr>
          <w:rStyle w:val="SourceText"/>
        </w:rPr>
        <w:t>LDAP</w:t>
      </w:r>
      <w:r>
        <w:rPr/>
        <w:t xml:space="preserve">, </w:t>
      </w:r>
      <w:r>
        <w:rPr>
          <w:rStyle w:val="SourceText"/>
        </w:rPr>
        <w:t>SCIM</w:t>
      </w:r>
      <w:r>
        <w:rPr/>
        <w:t xml:space="preserve">, </w:t>
      </w:r>
      <w:r>
        <w:rPr>
          <w:rStyle w:val="SourceText"/>
        </w:rPr>
        <w:t>VC</w:t>
      </w:r>
      <w:r>
        <w:rPr/>
        <w:t xml:space="preserve">, and other adjacent standards remain companion carriers or claim envelopes rather than being redefined by </w:t>
      </w:r>
      <w:r>
        <w:rPr>
          <w:rStyle w:val="SourceText"/>
        </w:rPr>
        <w:t>TAK</w:t>
      </w:r>
      <w:r>
        <w:rPr/>
        <w:t xml:space="preserve"> </w:t>
      </w:r>
    </w:p>
    <w:p>
      <w:pPr>
        <w:pStyle w:val="Heading3"/>
        <w:bidi w:val="0"/>
        <w:jc w:val="left"/>
        <w:rPr/>
      </w:pPr>
      <w:r>
        <w:rPr/>
        <w:t>3.4 External Augmentation Boundary</w:t>
      </w:r>
    </w:p>
    <w:p>
      <w:pPr>
        <w:pStyle w:val="BodyText"/>
        <w:bidi w:val="0"/>
        <w:jc w:val="left"/>
        <w:rPr/>
      </w:pPr>
      <w:r>
        <w:rPr>
          <w:rStyle w:val="SourceText"/>
        </w:rPr>
        <w:t>TAK</w:t>
      </w:r>
      <w:r>
        <w:rPr/>
        <w:t xml:space="preserve"> augments adjacent work specifically where a conforming runtime must connect broad policy, identity, qualification, and protocol authorization to the action being attempted.</w:t>
      </w:r>
    </w:p>
    <w:p>
      <w:pPr>
        <w:pStyle w:val="BodyText"/>
        <w:bidi w:val="0"/>
        <w:jc w:val="left"/>
        <w:rPr/>
      </w:pPr>
      <w:r>
        <w:rPr/>
        <w:t>In particular:</w:t>
      </w:r>
    </w:p>
    <w:p>
      <w:pPr>
        <w:pStyle w:val="BodyText"/>
        <w:numPr>
          <w:ilvl w:val="0"/>
          <w:numId w:val="10"/>
        </w:numPr>
        <w:tabs>
          <w:tab w:val="clear" w:pos="1134"/>
          <w:tab w:val="left" w:pos="709" w:leader="none"/>
        </w:tabs>
        <w:bidi w:val="0"/>
        <w:spacing w:before="0" w:after="0"/>
        <w:ind w:hanging="283" w:left="709"/>
        <w:jc w:val="left"/>
        <w:rPr/>
      </w:pPr>
      <w:r>
        <w:rPr/>
        <w:t xml:space="preserve">ISO/IEC 42001, ISO/IEC 23894, ISO/IEC 42005, and the NIST AI RMF remain the authorities for organization-level management, risk, and impact processes; </w:t>
      </w:r>
      <w:r>
        <w:rPr>
          <w:rStyle w:val="SourceText"/>
        </w:rPr>
        <w:t>TAK</w:t>
      </w:r>
      <w:r>
        <w:rPr/>
        <w:t xml:space="preserve"> converts applicable outcomes into enforceable runtime constraints </w:t>
      </w:r>
    </w:p>
    <w:p>
      <w:pPr>
        <w:pStyle w:val="BodyText"/>
        <w:numPr>
          <w:ilvl w:val="0"/>
          <w:numId w:val="10"/>
        </w:numPr>
        <w:tabs>
          <w:tab w:val="clear" w:pos="1134"/>
          <w:tab w:val="left" w:pos="709" w:leader="none"/>
        </w:tabs>
        <w:bidi w:val="0"/>
        <w:spacing w:before="0" w:after="0"/>
        <w:ind w:hanging="283" w:left="709"/>
        <w:jc w:val="left"/>
        <w:rPr/>
      </w:pPr>
      <w:r>
        <w:rPr/>
        <w:t xml:space="preserve">IEEE P3709 remains the broader agentic-AI framework project; </w:t>
      </w:r>
      <w:r>
        <w:rPr>
          <w:rStyle w:val="SourceText"/>
        </w:rPr>
        <w:t>TAK</w:t>
      </w:r>
      <w:r>
        <w:rPr/>
        <w:t xml:space="preserve"> contributes concrete harness, authority, evidence, proactivity, and autonomy requirements </w:t>
      </w:r>
    </w:p>
    <w:p>
      <w:pPr>
        <w:pStyle w:val="BodyText"/>
        <w:numPr>
          <w:ilvl w:val="0"/>
          <w:numId w:val="10"/>
        </w:numPr>
        <w:tabs>
          <w:tab w:val="clear" w:pos="1134"/>
          <w:tab w:val="left" w:pos="709" w:leader="none"/>
        </w:tabs>
        <w:bidi w:val="0"/>
        <w:spacing w:before="0" w:after="0"/>
        <w:ind w:hanging="283" w:left="709"/>
        <w:jc w:val="left"/>
        <w:rPr/>
      </w:pPr>
      <w:r>
        <w:rPr/>
        <w:t xml:space="preserve">ISO/IEC 42105 remains the human-oversight guidance layer; </w:t>
      </w:r>
      <w:r>
        <w:rPr>
          <w:rStyle w:val="SourceText"/>
        </w:rPr>
        <w:t>TAK</w:t>
      </w:r>
      <w:r>
        <w:rPr/>
        <w:t xml:space="preserve"> adds runtime tiers, ceilings, escalation, and regression behavior </w:t>
      </w:r>
    </w:p>
    <w:p>
      <w:pPr>
        <w:pStyle w:val="BodyText"/>
        <w:numPr>
          <w:ilvl w:val="0"/>
          <w:numId w:val="10"/>
        </w:numPr>
        <w:tabs>
          <w:tab w:val="clear" w:pos="1134"/>
          <w:tab w:val="left" w:pos="709" w:leader="none"/>
        </w:tabs>
        <w:bidi w:val="0"/>
        <w:spacing w:before="0" w:after="0"/>
        <w:ind w:hanging="283" w:left="709"/>
        <w:jc w:val="left"/>
        <w:rPr/>
      </w:pPr>
      <w:r>
        <w:rPr/>
        <w:t xml:space="preserve">IETF WIMSE, OAuth, GNAP, and SPIFFE remain identity, credential, and authorization transports; </w:t>
      </w:r>
      <w:r>
        <w:rPr>
          <w:rStyle w:val="SourceText"/>
        </w:rPr>
        <w:t>TAK</w:t>
      </w:r>
      <w:r>
        <w:rPr/>
        <w:t xml:space="preserve"> independently decides whether an authenticated and authorized protocol request is allowed under current qualification, data, workflow, and oversight constraints </w:t>
      </w:r>
    </w:p>
    <w:p>
      <w:pPr>
        <w:pStyle w:val="BodyText"/>
        <w:numPr>
          <w:ilvl w:val="0"/>
          <w:numId w:val="10"/>
        </w:numPr>
        <w:tabs>
          <w:tab w:val="clear" w:pos="1134"/>
          <w:tab w:val="left" w:pos="709" w:leader="none"/>
        </w:tabs>
        <w:bidi w:val="0"/>
        <w:ind w:hanging="283" w:left="709"/>
        <w:jc w:val="left"/>
        <w:rPr/>
      </w:pPr>
      <w:r>
        <w:rPr>
          <w:rStyle w:val="SourceText"/>
        </w:rPr>
        <w:t>TAK</w:t>
      </w:r>
      <w:r>
        <w:rPr/>
        <w:t xml:space="preserve"> does not infer job competence from successful authentication, protocol authorization, a model benchmark, or a declared capability </w:t>
      </w:r>
    </w:p>
    <w:p>
      <w:pPr>
        <w:pStyle w:val="Heading2"/>
        <w:bidi w:val="0"/>
        <w:jc w:val="left"/>
        <w:rPr/>
      </w:pPr>
      <w:r>
        <w:rPr/>
        <w:t>4. Terms and Definitions</w:t>
      </w:r>
    </w:p>
    <w:p>
      <w:pPr>
        <w:pStyle w:val="BodyText"/>
        <w:bidi w:val="0"/>
        <w:jc w:val="left"/>
        <w:rPr/>
      </w:pPr>
      <w:r>
        <w:rPr/>
        <w:t>For the purposes of this standard:</w:t>
      </w:r>
    </w:p>
    <w:tbl>
      <w:tblPr>
        <w:tblW w:w="20346" w:type="dxa"/>
        <w:jc w:val="left"/>
        <w:tblInd w:w="0" w:type="dxa"/>
        <w:tblLayout w:type="fixed"/>
        <w:tblCellMar>
          <w:top w:w="28" w:type="dxa"/>
          <w:left w:w="28" w:type="dxa"/>
          <w:bottom w:w="28" w:type="dxa"/>
          <w:right w:w="28" w:type="dxa"/>
        </w:tblCellMar>
      </w:tblPr>
      <w:tblGrid>
        <w:gridCol w:w="3721"/>
        <w:gridCol w:w="16625"/>
      </w:tblGrid>
      <w:tr>
        <w:trPr>
          <w:tblHeader w:val="true"/>
        </w:trPr>
        <w:tc>
          <w:tcPr>
            <w:tcW w:w="3721" w:type="dxa"/>
            <w:tcBorders/>
            <w:vAlign w:val="center"/>
          </w:tcPr>
          <w:p>
            <w:pPr>
              <w:pStyle w:val="TableHeading"/>
              <w:suppressLineNumbers/>
              <w:bidi w:val="0"/>
              <w:spacing w:before="0" w:after="283"/>
              <w:jc w:val="center"/>
              <w:rPr/>
            </w:pPr>
            <w:r>
              <w:rPr/>
              <w:t>Term</w:t>
            </w:r>
          </w:p>
        </w:tc>
        <w:tc>
          <w:tcPr>
            <w:tcW w:w="16625" w:type="dxa"/>
            <w:tcBorders/>
            <w:vAlign w:val="center"/>
          </w:tcPr>
          <w:p>
            <w:pPr>
              <w:pStyle w:val="TableHeading"/>
              <w:suppressLineNumbers/>
              <w:bidi w:val="0"/>
              <w:spacing w:before="0" w:after="283"/>
              <w:jc w:val="center"/>
              <w:rPr/>
            </w:pPr>
            <w:r>
              <w:rPr/>
              <w:t>Definition</w:t>
            </w:r>
          </w:p>
        </w:tc>
      </w:tr>
      <w:tr>
        <w:trPr/>
        <w:tc>
          <w:tcPr>
            <w:tcW w:w="3721" w:type="dxa"/>
            <w:tcBorders/>
            <w:vAlign w:val="center"/>
          </w:tcPr>
          <w:p>
            <w:pPr>
              <w:pStyle w:val="TableContents"/>
              <w:bidi w:val="0"/>
              <w:spacing w:before="0" w:after="283"/>
              <w:jc w:val="left"/>
              <w:rPr/>
            </w:pPr>
            <w:r>
              <w:rPr>
                <w:rStyle w:val="SourceText"/>
              </w:rPr>
              <w:t>agent</w:t>
            </w:r>
          </w:p>
        </w:tc>
        <w:tc>
          <w:tcPr>
            <w:tcW w:w="16625" w:type="dxa"/>
            <w:tcBorders/>
            <w:vAlign w:val="center"/>
          </w:tcPr>
          <w:p>
            <w:pPr>
              <w:pStyle w:val="TableContents"/>
              <w:bidi w:val="0"/>
              <w:spacing w:before="0" w:after="283"/>
              <w:jc w:val="left"/>
              <w:rPr/>
            </w:pPr>
            <w:r>
              <w:rPr/>
              <w:t>A software system that can reason, decide, and perform actions with or without tool use on behalf of a principal or workflow</w:t>
            </w:r>
          </w:p>
        </w:tc>
      </w:tr>
      <w:tr>
        <w:trPr/>
        <w:tc>
          <w:tcPr>
            <w:tcW w:w="3721" w:type="dxa"/>
            <w:tcBorders/>
            <w:vAlign w:val="center"/>
          </w:tcPr>
          <w:p>
            <w:pPr>
              <w:pStyle w:val="TableContents"/>
              <w:bidi w:val="0"/>
              <w:spacing w:before="0" w:after="283"/>
              <w:jc w:val="left"/>
              <w:rPr/>
            </w:pPr>
            <w:r>
              <w:rPr>
                <w:rStyle w:val="SourceText"/>
              </w:rPr>
              <w:t>principal</w:t>
            </w:r>
          </w:p>
        </w:tc>
        <w:tc>
          <w:tcPr>
            <w:tcW w:w="16625" w:type="dxa"/>
            <w:tcBorders/>
            <w:vAlign w:val="center"/>
          </w:tcPr>
          <w:p>
            <w:pPr>
              <w:pStyle w:val="TableContents"/>
              <w:bidi w:val="0"/>
              <w:spacing w:before="0" w:after="283"/>
              <w:jc w:val="left"/>
              <w:rPr/>
            </w:pPr>
            <w:r>
              <w:rPr/>
              <w:t>The human or organizational authority under which an agent operates</w:t>
            </w:r>
          </w:p>
        </w:tc>
      </w:tr>
      <w:tr>
        <w:trPr/>
        <w:tc>
          <w:tcPr>
            <w:tcW w:w="3721" w:type="dxa"/>
            <w:tcBorders/>
            <w:vAlign w:val="center"/>
          </w:tcPr>
          <w:p>
            <w:pPr>
              <w:pStyle w:val="TableContents"/>
              <w:bidi w:val="0"/>
              <w:spacing w:before="0" w:after="283"/>
              <w:jc w:val="left"/>
              <w:rPr/>
            </w:pPr>
            <w:r>
              <w:rPr>
                <w:rStyle w:val="SourceText"/>
              </w:rPr>
              <w:t>runtime</w:t>
            </w:r>
          </w:p>
        </w:tc>
        <w:tc>
          <w:tcPr>
            <w:tcW w:w="16625" w:type="dxa"/>
            <w:tcBorders/>
            <w:vAlign w:val="center"/>
          </w:tcPr>
          <w:p>
            <w:pPr>
              <w:pStyle w:val="TableContents"/>
              <w:bidi w:val="0"/>
              <w:spacing w:before="0" w:after="283"/>
              <w:jc w:val="left"/>
              <w:rPr/>
            </w:pPr>
            <w:r>
              <w:rPr/>
              <w:t>The execution environment that implements the agent harness and mediates prompts, tools, memory, policies, and outputs</w:t>
            </w:r>
          </w:p>
        </w:tc>
      </w:tr>
      <w:tr>
        <w:trPr/>
        <w:tc>
          <w:tcPr>
            <w:tcW w:w="3721" w:type="dxa"/>
            <w:tcBorders/>
            <w:vAlign w:val="center"/>
          </w:tcPr>
          <w:p>
            <w:pPr>
              <w:pStyle w:val="TableContents"/>
              <w:bidi w:val="0"/>
              <w:spacing w:before="0" w:after="283"/>
              <w:jc w:val="left"/>
              <w:rPr/>
            </w:pPr>
            <w:r>
              <w:rPr>
                <w:rStyle w:val="SourceText"/>
              </w:rPr>
              <w:t>agent harness</w:t>
            </w:r>
          </w:p>
        </w:tc>
        <w:tc>
          <w:tcPr>
            <w:tcW w:w="16625" w:type="dxa"/>
            <w:tcBorders/>
            <w:vAlign w:val="center"/>
          </w:tcPr>
          <w:p>
            <w:pPr>
              <w:pStyle w:val="TableContents"/>
              <w:bidi w:val="0"/>
              <w:spacing w:before="0" w:after="283"/>
              <w:jc w:val="left"/>
              <w:rPr/>
            </w:pPr>
            <w:r>
              <w:rPr/>
              <w:t>The standard runtime structure that binds authority, instructions, model access, tools, memory, oversight, and evidence into one governed execution contract</w:t>
            </w:r>
          </w:p>
        </w:tc>
      </w:tr>
      <w:tr>
        <w:trPr/>
        <w:tc>
          <w:tcPr>
            <w:tcW w:w="3721" w:type="dxa"/>
            <w:tcBorders/>
            <w:vAlign w:val="center"/>
          </w:tcPr>
          <w:p>
            <w:pPr>
              <w:pStyle w:val="TableContents"/>
              <w:bidi w:val="0"/>
              <w:spacing w:before="0" w:after="283"/>
              <w:jc w:val="left"/>
              <w:rPr/>
            </w:pPr>
            <w:r>
              <w:rPr>
                <w:rStyle w:val="SourceText"/>
              </w:rPr>
              <w:t>immutable directive</w:t>
            </w:r>
          </w:p>
        </w:tc>
        <w:tc>
          <w:tcPr>
            <w:tcW w:w="16625" w:type="dxa"/>
            <w:tcBorders/>
            <w:vAlign w:val="center"/>
          </w:tcPr>
          <w:p>
            <w:pPr>
              <w:pStyle w:val="TableContents"/>
              <w:bidi w:val="0"/>
              <w:spacing w:before="0" w:after="283"/>
              <w:jc w:val="left"/>
              <w:rPr/>
            </w:pPr>
            <w:r>
              <w:rPr/>
              <w:t>A runtime-enforced instruction that the agent cannot change through conversation</w:t>
            </w:r>
          </w:p>
        </w:tc>
      </w:tr>
      <w:tr>
        <w:trPr/>
        <w:tc>
          <w:tcPr>
            <w:tcW w:w="3721" w:type="dxa"/>
            <w:tcBorders/>
            <w:vAlign w:val="center"/>
          </w:tcPr>
          <w:p>
            <w:pPr>
              <w:pStyle w:val="TableContents"/>
              <w:bidi w:val="0"/>
              <w:spacing w:before="0" w:after="283"/>
              <w:jc w:val="left"/>
              <w:rPr/>
            </w:pPr>
            <w:r>
              <w:rPr>
                <w:rStyle w:val="SourceText"/>
              </w:rPr>
              <w:t>tool</w:t>
            </w:r>
          </w:p>
        </w:tc>
        <w:tc>
          <w:tcPr>
            <w:tcW w:w="16625" w:type="dxa"/>
            <w:tcBorders/>
            <w:vAlign w:val="center"/>
          </w:tcPr>
          <w:p>
            <w:pPr>
              <w:pStyle w:val="TableContents"/>
              <w:bidi w:val="0"/>
              <w:spacing w:before="0" w:after="283"/>
              <w:jc w:val="left"/>
              <w:rPr/>
            </w:pPr>
            <w:r>
              <w:rPr/>
              <w:t>A callable capability that reads, writes, transforms, or acts on an internal or external system</w:t>
            </w:r>
          </w:p>
        </w:tc>
      </w:tr>
      <w:tr>
        <w:trPr/>
        <w:tc>
          <w:tcPr>
            <w:tcW w:w="3721" w:type="dxa"/>
            <w:tcBorders/>
            <w:vAlign w:val="center"/>
          </w:tcPr>
          <w:p>
            <w:pPr>
              <w:pStyle w:val="TableContents"/>
              <w:bidi w:val="0"/>
              <w:spacing w:before="0" w:after="283"/>
              <w:jc w:val="left"/>
              <w:rPr/>
            </w:pPr>
            <w:r>
              <w:rPr>
                <w:rStyle w:val="SourceText"/>
              </w:rPr>
              <w:t>execution mode</w:t>
            </w:r>
          </w:p>
        </w:tc>
        <w:tc>
          <w:tcPr>
            <w:tcW w:w="16625" w:type="dxa"/>
            <w:tcBorders/>
            <w:vAlign w:val="center"/>
          </w:tcPr>
          <w:p>
            <w:pPr>
              <w:pStyle w:val="TableContents"/>
              <w:bidi w:val="0"/>
              <w:spacing w:before="0" w:after="283"/>
              <w:jc w:val="left"/>
              <w:rPr/>
            </w:pPr>
            <w:r>
              <w:rPr/>
              <w:t>The enforcement class governing how a tool call is handled at runtime</w:t>
            </w:r>
          </w:p>
        </w:tc>
      </w:tr>
      <w:tr>
        <w:trPr/>
        <w:tc>
          <w:tcPr>
            <w:tcW w:w="3721" w:type="dxa"/>
            <w:tcBorders/>
            <w:vAlign w:val="center"/>
          </w:tcPr>
          <w:p>
            <w:pPr>
              <w:pStyle w:val="TableContents"/>
              <w:bidi w:val="0"/>
              <w:spacing w:before="0" w:after="283"/>
              <w:jc w:val="left"/>
              <w:rPr/>
            </w:pPr>
            <w:r>
              <w:rPr>
                <w:rStyle w:val="SourceText"/>
              </w:rPr>
              <w:t>proposal</w:t>
            </w:r>
          </w:p>
        </w:tc>
        <w:tc>
          <w:tcPr>
            <w:tcW w:w="16625" w:type="dxa"/>
            <w:tcBorders/>
            <w:vAlign w:val="center"/>
          </w:tcPr>
          <w:p>
            <w:pPr>
              <w:pStyle w:val="TableContents"/>
              <w:bidi w:val="0"/>
              <w:spacing w:before="0" w:after="283"/>
              <w:jc w:val="left"/>
              <w:rPr/>
            </w:pPr>
            <w:r>
              <w:rPr/>
              <w:t>A gated action that requires explicit human approval before execution</w:t>
            </w:r>
          </w:p>
        </w:tc>
      </w:tr>
      <w:tr>
        <w:trPr/>
        <w:tc>
          <w:tcPr>
            <w:tcW w:w="3721" w:type="dxa"/>
            <w:tcBorders/>
            <w:vAlign w:val="center"/>
          </w:tcPr>
          <w:p>
            <w:pPr>
              <w:pStyle w:val="TableContents"/>
              <w:bidi w:val="0"/>
              <w:spacing w:before="0" w:after="283"/>
              <w:jc w:val="left"/>
              <w:rPr/>
            </w:pPr>
            <w:r>
              <w:rPr>
                <w:rStyle w:val="SourceText"/>
              </w:rPr>
              <w:t>immediate</w:t>
            </w:r>
          </w:p>
        </w:tc>
        <w:tc>
          <w:tcPr>
            <w:tcW w:w="16625" w:type="dxa"/>
            <w:tcBorders/>
            <w:vAlign w:val="center"/>
          </w:tcPr>
          <w:p>
            <w:pPr>
              <w:pStyle w:val="TableContents"/>
              <w:bidi w:val="0"/>
              <w:spacing w:before="0" w:after="283"/>
              <w:jc w:val="left"/>
              <w:rPr/>
            </w:pPr>
            <w:r>
              <w:rPr/>
              <w:t>An action the runtime may execute without per-action approval because policy allows it</w:t>
            </w:r>
          </w:p>
        </w:tc>
      </w:tr>
      <w:tr>
        <w:trPr/>
        <w:tc>
          <w:tcPr>
            <w:tcW w:w="3721" w:type="dxa"/>
            <w:tcBorders/>
            <w:vAlign w:val="center"/>
          </w:tcPr>
          <w:p>
            <w:pPr>
              <w:pStyle w:val="TableContents"/>
              <w:bidi w:val="0"/>
              <w:spacing w:before="0" w:after="283"/>
              <w:jc w:val="left"/>
              <w:rPr/>
            </w:pPr>
            <w:r>
              <w:rPr>
                <w:rStyle w:val="SourceText"/>
              </w:rPr>
              <w:t>delegation</w:t>
            </w:r>
          </w:p>
        </w:tc>
        <w:tc>
          <w:tcPr>
            <w:tcW w:w="16625" w:type="dxa"/>
            <w:tcBorders/>
            <w:vAlign w:val="center"/>
          </w:tcPr>
          <w:p>
            <w:pPr>
              <w:pStyle w:val="TableContents"/>
              <w:bidi w:val="0"/>
              <w:spacing w:before="0" w:after="283"/>
              <w:jc w:val="left"/>
              <w:rPr/>
            </w:pPr>
            <w:r>
              <w:rPr/>
              <w:t>Transfer of a bounded task from one agent or orchestrator context to another</w:t>
            </w:r>
          </w:p>
        </w:tc>
      </w:tr>
      <w:tr>
        <w:trPr/>
        <w:tc>
          <w:tcPr>
            <w:tcW w:w="3721" w:type="dxa"/>
            <w:tcBorders/>
            <w:vAlign w:val="center"/>
          </w:tcPr>
          <w:p>
            <w:pPr>
              <w:pStyle w:val="TableContents"/>
              <w:bidi w:val="0"/>
              <w:spacing w:before="0" w:after="283"/>
              <w:jc w:val="left"/>
              <w:rPr/>
            </w:pPr>
            <w:r>
              <w:rPr>
                <w:rStyle w:val="SourceText"/>
              </w:rPr>
              <w:t>escalation</w:t>
            </w:r>
          </w:p>
        </w:tc>
        <w:tc>
          <w:tcPr>
            <w:tcW w:w="16625" w:type="dxa"/>
            <w:tcBorders/>
            <w:vAlign w:val="center"/>
          </w:tcPr>
          <w:p>
            <w:pPr>
              <w:pStyle w:val="TableContents"/>
              <w:bidi w:val="0"/>
              <w:spacing w:before="0" w:after="283"/>
              <w:jc w:val="left"/>
              <w:rPr/>
            </w:pPr>
            <w:r>
              <w:rPr/>
              <w:t>Routing of a decision or blocker to a higher-authority human or agent context</w:t>
            </w:r>
          </w:p>
        </w:tc>
      </w:tr>
      <w:tr>
        <w:trPr/>
        <w:tc>
          <w:tcPr>
            <w:tcW w:w="3721" w:type="dxa"/>
            <w:tcBorders/>
            <w:vAlign w:val="center"/>
          </w:tcPr>
          <w:p>
            <w:pPr>
              <w:pStyle w:val="TableContents"/>
              <w:bidi w:val="0"/>
              <w:spacing w:before="0" w:after="283"/>
              <w:jc w:val="left"/>
              <w:rPr/>
            </w:pPr>
            <w:r>
              <w:rPr>
                <w:rStyle w:val="SourceText"/>
              </w:rPr>
              <w:t>memory</w:t>
            </w:r>
          </w:p>
        </w:tc>
        <w:tc>
          <w:tcPr>
            <w:tcW w:w="16625" w:type="dxa"/>
            <w:tcBorders/>
            <w:vAlign w:val="center"/>
          </w:tcPr>
          <w:p>
            <w:pPr>
              <w:pStyle w:val="TableContents"/>
              <w:bidi w:val="0"/>
              <w:spacing w:before="0" w:after="283"/>
              <w:jc w:val="left"/>
              <w:rPr/>
            </w:pPr>
            <w:r>
              <w:rPr/>
              <w:t>Persisted or replayed context intended to influence subsequent agent behavior</w:t>
            </w:r>
          </w:p>
        </w:tc>
      </w:tr>
      <w:tr>
        <w:trPr/>
        <w:tc>
          <w:tcPr>
            <w:tcW w:w="3721" w:type="dxa"/>
            <w:tcBorders/>
            <w:vAlign w:val="center"/>
          </w:tcPr>
          <w:p>
            <w:pPr>
              <w:pStyle w:val="TableContents"/>
              <w:bidi w:val="0"/>
              <w:spacing w:before="0" w:after="283"/>
              <w:jc w:val="left"/>
              <w:rPr/>
            </w:pPr>
            <w:r>
              <w:rPr>
                <w:rStyle w:val="SourceText"/>
              </w:rPr>
              <w:t>context window governance</w:t>
            </w:r>
          </w:p>
        </w:tc>
        <w:tc>
          <w:tcPr>
            <w:tcW w:w="16625" w:type="dxa"/>
            <w:tcBorders/>
            <w:vAlign w:val="center"/>
          </w:tcPr>
          <w:p>
            <w:pPr>
              <w:pStyle w:val="TableContents"/>
              <w:bidi w:val="0"/>
              <w:spacing w:before="0" w:after="283"/>
              <w:jc w:val="left"/>
              <w:rPr/>
            </w:pPr>
            <w:r>
              <w:rPr/>
              <w:t>Controls that determine what prior information is preserved, summarized, truncated, or excluded</w:t>
            </w:r>
          </w:p>
        </w:tc>
      </w:tr>
      <w:tr>
        <w:trPr/>
        <w:tc>
          <w:tcPr>
            <w:tcW w:w="3721" w:type="dxa"/>
            <w:tcBorders/>
            <w:vAlign w:val="center"/>
          </w:tcPr>
          <w:p>
            <w:pPr>
              <w:pStyle w:val="TableContents"/>
              <w:bidi w:val="0"/>
              <w:spacing w:before="0" w:after="283"/>
              <w:jc w:val="left"/>
              <w:rPr/>
            </w:pPr>
            <w:r>
              <w:rPr>
                <w:rStyle w:val="SourceText"/>
              </w:rPr>
              <w:t>provider budget</w:t>
            </w:r>
          </w:p>
        </w:tc>
        <w:tc>
          <w:tcPr>
            <w:tcW w:w="16625" w:type="dxa"/>
            <w:tcBorders/>
            <w:vAlign w:val="center"/>
          </w:tcPr>
          <w:p>
            <w:pPr>
              <w:pStyle w:val="TableContents"/>
              <w:bidi w:val="0"/>
              <w:spacing w:before="0" w:after="283"/>
              <w:jc w:val="left"/>
              <w:rPr/>
            </w:pPr>
            <w:r>
              <w:rPr/>
              <w:t>The governed runtime view of rate, concurrency, token-throughput, quota, credit, funding-token, or contractual limits imposed by a model provider or inference service</w:t>
            </w:r>
          </w:p>
        </w:tc>
      </w:tr>
      <w:tr>
        <w:trPr/>
        <w:tc>
          <w:tcPr>
            <w:tcW w:w="3721" w:type="dxa"/>
            <w:tcBorders/>
            <w:vAlign w:val="center"/>
          </w:tcPr>
          <w:p>
            <w:pPr>
              <w:pStyle w:val="TableContents"/>
              <w:bidi w:val="0"/>
              <w:spacing w:before="0" w:after="283"/>
              <w:jc w:val="left"/>
              <w:rPr/>
            </w:pPr>
            <w:r>
              <w:rPr>
                <w:rStyle w:val="SourceText"/>
              </w:rPr>
              <w:t>backpressure</w:t>
            </w:r>
          </w:p>
        </w:tc>
        <w:tc>
          <w:tcPr>
            <w:tcW w:w="16625" w:type="dxa"/>
            <w:tcBorders/>
            <w:vAlign w:val="center"/>
          </w:tcPr>
          <w:p>
            <w:pPr>
              <w:pStyle w:val="TableContents"/>
              <w:bidi w:val="0"/>
              <w:spacing w:before="0" w:after="283"/>
              <w:jc w:val="left"/>
              <w:rPr/>
            </w:pPr>
            <w:r>
              <w:rPr/>
              <w:t>Runtime behavior that slows, queues, defers, or rejects new inference work so provider and policy limits are not exceeded</w:t>
            </w:r>
          </w:p>
        </w:tc>
      </w:tr>
      <w:tr>
        <w:trPr/>
        <w:tc>
          <w:tcPr>
            <w:tcW w:w="3721" w:type="dxa"/>
            <w:tcBorders/>
            <w:vAlign w:val="center"/>
          </w:tcPr>
          <w:p>
            <w:pPr>
              <w:pStyle w:val="TableContents"/>
              <w:bidi w:val="0"/>
              <w:spacing w:before="0" w:after="283"/>
              <w:jc w:val="left"/>
              <w:rPr/>
            </w:pPr>
            <w:r>
              <w:rPr>
                <w:rStyle w:val="SourceText"/>
              </w:rPr>
              <w:t>inference queue</w:t>
            </w:r>
          </w:p>
        </w:tc>
        <w:tc>
          <w:tcPr>
            <w:tcW w:w="16625" w:type="dxa"/>
            <w:tcBorders/>
            <w:vAlign w:val="center"/>
          </w:tcPr>
          <w:p>
            <w:pPr>
              <w:pStyle w:val="TableContents"/>
              <w:bidi w:val="0"/>
              <w:spacing w:before="0" w:after="283"/>
              <w:jc w:val="left"/>
              <w:rPr/>
            </w:pPr>
            <w:r>
              <w:rPr/>
              <w:t>A bounded, resumable runtime queue holding model invocations awaiting execution, retry, failover, or operator intervention</w:t>
            </w:r>
          </w:p>
        </w:tc>
      </w:tr>
      <w:tr>
        <w:trPr/>
        <w:tc>
          <w:tcPr>
            <w:tcW w:w="3721" w:type="dxa"/>
            <w:tcBorders/>
            <w:vAlign w:val="center"/>
          </w:tcPr>
          <w:p>
            <w:pPr>
              <w:pStyle w:val="TableContents"/>
              <w:bidi w:val="0"/>
              <w:spacing w:before="0" w:after="283"/>
              <w:jc w:val="left"/>
              <w:rPr/>
            </w:pPr>
            <w:r>
              <w:rPr>
                <w:rStyle w:val="SourceText"/>
              </w:rPr>
              <w:t>capability tier</w:t>
            </w:r>
          </w:p>
        </w:tc>
        <w:tc>
          <w:tcPr>
            <w:tcW w:w="16625" w:type="dxa"/>
            <w:tcBorders/>
            <w:vAlign w:val="center"/>
          </w:tcPr>
          <w:p>
            <w:pPr>
              <w:pStyle w:val="TableContents"/>
              <w:bidi w:val="0"/>
              <w:spacing w:before="0" w:after="283"/>
              <w:jc w:val="left"/>
              <w:rPr/>
            </w:pPr>
            <w:r>
              <w:rPr/>
              <w:t>A policy classification that defines the minimum acceptable model capability and the allowed substitution set for a task or workflow</w:t>
            </w:r>
          </w:p>
        </w:tc>
      </w:tr>
      <w:tr>
        <w:trPr/>
        <w:tc>
          <w:tcPr>
            <w:tcW w:w="3721" w:type="dxa"/>
            <w:tcBorders/>
            <w:vAlign w:val="center"/>
          </w:tcPr>
          <w:p>
            <w:pPr>
              <w:pStyle w:val="TableContents"/>
              <w:bidi w:val="0"/>
              <w:spacing w:before="0" w:after="283"/>
              <w:jc w:val="left"/>
              <w:rPr/>
            </w:pPr>
            <w:r>
              <w:rPr>
                <w:rStyle w:val="SourceText"/>
              </w:rPr>
              <w:t>runtime transparency</w:t>
            </w:r>
          </w:p>
        </w:tc>
        <w:tc>
          <w:tcPr>
            <w:tcW w:w="16625" w:type="dxa"/>
            <w:tcBorders/>
            <w:vAlign w:val="center"/>
          </w:tcPr>
          <w:p>
            <w:pPr>
              <w:pStyle w:val="TableContents"/>
              <w:bidi w:val="0"/>
              <w:spacing w:before="0" w:after="283"/>
              <w:jc w:val="left"/>
              <w:rPr/>
            </w:pPr>
            <w:r>
              <w:rPr/>
              <w:t>The ability for humans and auditors to inspect what the agent was allowed to do, attempted to do, and actually did</w:t>
            </w:r>
          </w:p>
        </w:tc>
      </w:tr>
      <w:tr>
        <w:trPr/>
        <w:tc>
          <w:tcPr>
            <w:tcW w:w="3721" w:type="dxa"/>
            <w:tcBorders/>
            <w:vAlign w:val="center"/>
          </w:tcPr>
          <w:p>
            <w:pPr>
              <w:pStyle w:val="TableContents"/>
              <w:bidi w:val="0"/>
              <w:spacing w:before="0" w:after="283"/>
              <w:jc w:val="left"/>
              <w:rPr/>
            </w:pPr>
            <w:r>
              <w:rPr>
                <w:rStyle w:val="SourceText"/>
              </w:rPr>
              <w:t>fabrication</w:t>
            </w:r>
          </w:p>
        </w:tc>
        <w:tc>
          <w:tcPr>
            <w:tcW w:w="16625" w:type="dxa"/>
            <w:tcBorders/>
            <w:vAlign w:val="center"/>
          </w:tcPr>
          <w:p>
            <w:pPr>
              <w:pStyle w:val="TableContents"/>
              <w:bidi w:val="0"/>
              <w:spacing w:before="0" w:after="283"/>
              <w:jc w:val="left"/>
              <w:rPr/>
            </w:pPr>
            <w:r>
              <w:rPr/>
              <w:t>A model output that claims work, change, or completion not supported by tool or runtime evidence</w:t>
            </w:r>
          </w:p>
        </w:tc>
      </w:tr>
      <w:tr>
        <w:trPr/>
        <w:tc>
          <w:tcPr>
            <w:tcW w:w="3721" w:type="dxa"/>
            <w:tcBorders/>
            <w:vAlign w:val="center"/>
          </w:tcPr>
          <w:p>
            <w:pPr>
              <w:pStyle w:val="TableContents"/>
              <w:bidi w:val="0"/>
              <w:spacing w:before="0" w:after="283"/>
              <w:jc w:val="left"/>
              <w:rPr/>
            </w:pPr>
            <w:r>
              <w:rPr>
                <w:rStyle w:val="SourceText"/>
              </w:rPr>
              <w:t>operating profile</w:t>
            </w:r>
          </w:p>
        </w:tc>
        <w:tc>
          <w:tcPr>
            <w:tcW w:w="16625" w:type="dxa"/>
            <w:tcBorders/>
            <w:vAlign w:val="center"/>
          </w:tcPr>
          <w:p>
            <w:pPr>
              <w:pStyle w:val="TableContents"/>
              <w:bidi w:val="0"/>
              <w:spacing w:before="0" w:after="283"/>
              <w:jc w:val="left"/>
              <w:rPr/>
            </w:pPr>
            <w:r>
              <w:rPr/>
              <w:t>The governed bundle of materially relevant runtime state for an identified agent, including model binding, instructions, tools, autonomy posture, and verification references</w:t>
            </w:r>
          </w:p>
        </w:tc>
      </w:tr>
      <w:tr>
        <w:trPr/>
        <w:tc>
          <w:tcPr>
            <w:tcW w:w="3721" w:type="dxa"/>
            <w:tcBorders/>
            <w:vAlign w:val="center"/>
          </w:tcPr>
          <w:p>
            <w:pPr>
              <w:pStyle w:val="TableContents"/>
              <w:bidi w:val="0"/>
              <w:spacing w:before="0" w:after="283"/>
              <w:jc w:val="left"/>
              <w:rPr/>
            </w:pPr>
            <w:r>
              <w:rPr>
                <w:rStyle w:val="SourceText"/>
              </w:rPr>
              <w:t>profile fingerprint</w:t>
            </w:r>
          </w:p>
        </w:tc>
        <w:tc>
          <w:tcPr>
            <w:tcW w:w="16625" w:type="dxa"/>
            <w:tcBorders/>
            <w:vAlign w:val="center"/>
          </w:tcPr>
          <w:p>
            <w:pPr>
              <w:pStyle w:val="TableContents"/>
              <w:bidi w:val="0"/>
              <w:spacing w:before="0" w:after="283"/>
              <w:jc w:val="left"/>
              <w:rPr/>
            </w:pPr>
            <w:r>
              <w:rPr/>
              <w:t>A digest or equivalent marker derived from the materially relevant operating profile state</w:t>
            </w:r>
          </w:p>
        </w:tc>
      </w:tr>
      <w:tr>
        <w:trPr/>
        <w:tc>
          <w:tcPr>
            <w:tcW w:w="3721" w:type="dxa"/>
            <w:tcBorders/>
            <w:vAlign w:val="center"/>
          </w:tcPr>
          <w:p>
            <w:pPr>
              <w:pStyle w:val="TableContents"/>
              <w:bidi w:val="0"/>
              <w:spacing w:before="0" w:after="283"/>
              <w:jc w:val="left"/>
              <w:rPr/>
            </w:pPr>
            <w:r>
              <w:rPr>
                <w:rStyle w:val="SourceText"/>
              </w:rPr>
              <w:t>validation continuity</w:t>
            </w:r>
          </w:p>
        </w:tc>
        <w:tc>
          <w:tcPr>
            <w:tcW w:w="16625" w:type="dxa"/>
            <w:tcBorders/>
            <w:vAlign w:val="center"/>
          </w:tcPr>
          <w:p>
            <w:pPr>
              <w:pStyle w:val="TableContents"/>
              <w:bidi w:val="0"/>
              <w:spacing w:before="0" w:after="283"/>
              <w:jc w:val="left"/>
              <w:rPr/>
            </w:pPr>
            <w:r>
              <w:rPr/>
              <w:t>Whether the currently running operating profile remains the same validated operational subject previously assessed or approved</w:t>
            </w:r>
          </w:p>
        </w:tc>
      </w:tr>
      <w:tr>
        <w:trPr/>
        <w:tc>
          <w:tcPr>
            <w:tcW w:w="3721" w:type="dxa"/>
            <w:tcBorders/>
            <w:vAlign w:val="center"/>
          </w:tcPr>
          <w:p>
            <w:pPr>
              <w:pStyle w:val="TableContents"/>
              <w:bidi w:val="0"/>
              <w:spacing w:before="0" w:after="283"/>
              <w:jc w:val="left"/>
              <w:rPr/>
            </w:pPr>
            <w:r>
              <w:rPr>
                <w:rStyle w:val="SourceText"/>
              </w:rPr>
              <w:t>job qualification</w:t>
            </w:r>
          </w:p>
        </w:tc>
        <w:tc>
          <w:tcPr>
            <w:tcW w:w="16625" w:type="dxa"/>
            <w:tcBorders/>
            <w:vAlign w:val="center"/>
          </w:tcPr>
          <w:p>
            <w:pPr>
              <w:pStyle w:val="TableContents"/>
              <w:bidi w:val="0"/>
              <w:spacing w:before="0" w:after="283"/>
              <w:jc w:val="left"/>
              <w:rPr/>
            </w:pPr>
            <w:r>
              <w:rPr/>
              <w:t>A versioned assertion that an identified operating profile satisfies a declared job/activity qualification scheme within stated data, risk, tool, and deployment constraints</w:t>
            </w:r>
          </w:p>
        </w:tc>
      </w:tr>
      <w:tr>
        <w:trPr/>
        <w:tc>
          <w:tcPr>
            <w:tcW w:w="3721" w:type="dxa"/>
            <w:tcBorders/>
            <w:vAlign w:val="center"/>
          </w:tcPr>
          <w:p>
            <w:pPr>
              <w:pStyle w:val="TableContents"/>
              <w:bidi w:val="0"/>
              <w:spacing w:before="0" w:after="283"/>
              <w:jc w:val="left"/>
              <w:rPr/>
            </w:pPr>
            <w:r>
              <w:rPr>
                <w:rStyle w:val="SourceText"/>
              </w:rPr>
              <w:t>proactivity</w:t>
            </w:r>
          </w:p>
        </w:tc>
        <w:tc>
          <w:tcPr>
            <w:tcW w:w="16625" w:type="dxa"/>
            <w:tcBorders/>
            <w:vAlign w:val="center"/>
          </w:tcPr>
          <w:p>
            <w:pPr>
              <w:pStyle w:val="TableContents"/>
              <w:bidi w:val="0"/>
              <w:spacing w:before="0" w:after="283"/>
              <w:jc w:val="left"/>
              <w:rPr/>
            </w:pPr>
            <w:r>
              <w:rPr/>
              <w:t>The requested degree of initiative an agent may take before involving a human; it does not create authority or competence</w:t>
            </w:r>
          </w:p>
        </w:tc>
      </w:tr>
      <w:tr>
        <w:trPr/>
        <w:tc>
          <w:tcPr>
            <w:tcW w:w="3721" w:type="dxa"/>
            <w:tcBorders/>
            <w:vAlign w:val="center"/>
          </w:tcPr>
          <w:p>
            <w:pPr>
              <w:pStyle w:val="TableContents"/>
              <w:bidi w:val="0"/>
              <w:spacing w:before="0" w:after="283"/>
              <w:jc w:val="left"/>
              <w:rPr/>
            </w:pPr>
            <w:r>
              <w:rPr>
                <w:rStyle w:val="SourceText"/>
              </w:rPr>
              <w:t>earned autonomy</w:t>
            </w:r>
          </w:p>
        </w:tc>
        <w:tc>
          <w:tcPr>
            <w:tcW w:w="16625" w:type="dxa"/>
            <w:tcBorders/>
            <w:vAlign w:val="center"/>
          </w:tcPr>
          <w:p>
            <w:pPr>
              <w:pStyle w:val="TableContents"/>
              <w:bidi w:val="0"/>
              <w:spacing w:before="0" w:after="283"/>
              <w:jc w:val="left"/>
              <w:rPr/>
            </w:pPr>
            <w:r>
              <w:rPr/>
              <w:t xml:space="preserve">Runtime action latitude justified by evidence and policy for a specific </w:t>
            </w:r>
            <w:r>
              <w:rPr>
                <w:rStyle w:val="SourceText"/>
              </w:rPr>
              <w:t>(agent × activity × risk)</w:t>
            </w:r>
            <w:r>
              <w:rPr/>
              <w:t xml:space="preserve"> scope</w:t>
            </w:r>
          </w:p>
        </w:tc>
      </w:tr>
      <w:tr>
        <w:trPr/>
        <w:tc>
          <w:tcPr>
            <w:tcW w:w="3721" w:type="dxa"/>
            <w:tcBorders/>
            <w:vAlign w:val="center"/>
          </w:tcPr>
          <w:p>
            <w:pPr>
              <w:pStyle w:val="TableContents"/>
              <w:bidi w:val="0"/>
              <w:spacing w:before="0" w:after="283"/>
              <w:jc w:val="left"/>
              <w:rPr/>
            </w:pPr>
            <w:r>
              <w:rPr>
                <w:rStyle w:val="SourceText"/>
              </w:rPr>
              <w:t>autonomy ceiling</w:t>
            </w:r>
          </w:p>
        </w:tc>
        <w:tc>
          <w:tcPr>
            <w:tcW w:w="16625" w:type="dxa"/>
            <w:tcBorders/>
            <w:vAlign w:val="center"/>
          </w:tcPr>
          <w:p>
            <w:pPr>
              <w:pStyle w:val="TableContents"/>
              <w:bidi w:val="0"/>
              <w:spacing w:before="0" w:after="283"/>
              <w:jc w:val="left"/>
              <w:rPr/>
            </w:pPr>
            <w:r>
              <w:rPr/>
              <w:t>The highest oversight tier allowed after authority, qualification, data, regulatory, and risk constraints are intersected</w:t>
            </w:r>
          </w:p>
        </w:tc>
      </w:tr>
    </w:tbl>
    <w:p>
      <w:pPr>
        <w:pStyle w:val="Heading2"/>
        <w:bidi w:val="0"/>
        <w:jc w:val="left"/>
        <w:rPr/>
      </w:pPr>
      <w:r>
        <w:rPr/>
        <w:t>5. Core Principle</w:t>
      </w:r>
    </w:p>
    <w:p>
      <w:pPr>
        <w:pStyle w:val="BodyText"/>
        <w:bidi w:val="0"/>
        <w:jc w:val="left"/>
        <w:rPr/>
      </w:pPr>
      <w:r>
        <w:rPr/>
        <w:t xml:space="preserve">The core principle of </w:t>
      </w:r>
      <w:r>
        <w:rPr>
          <w:rStyle w:val="SourceText"/>
        </w:rPr>
        <w:t>TAK</w:t>
      </w:r>
      <w:r>
        <w:rPr/>
        <w:t xml:space="preserve"> is:</w:t>
      </w:r>
    </w:p>
    <w:p>
      <w:pPr>
        <w:pStyle w:val="BlockQuotation"/>
        <w:bidi w:val="0"/>
        <w:jc w:val="left"/>
        <w:rPr/>
      </w:pPr>
      <w:r>
        <w:rPr/>
        <w:t>Humans hold authority. Agents hold capability. The kernel provides the standard harness on which trustworthy AI agents are built, operated, and evidenced.</w:t>
      </w:r>
    </w:p>
    <w:p>
      <w:pPr>
        <w:pStyle w:val="BodyText"/>
        <w:bidi w:val="0"/>
        <w:jc w:val="left"/>
        <w:rPr/>
      </w:pPr>
      <w:r>
        <w:rPr/>
        <w:t>The point is not merely to restrict the model or intercept model calls. The point is to establish a consistent and governable basis for how AI agents are built, invoked, supervised, and evidenced. Mediation is one function of that harness, but the larger purpose is to ensure that authority, capability, directives, execution, and evidence remain aligned throughout runtime operation.</w:t>
      </w:r>
    </w:p>
    <w:p>
      <w:pPr>
        <w:pStyle w:val="Heading2"/>
        <w:bidi w:val="0"/>
        <w:jc w:val="left"/>
        <w:rPr/>
      </w:pPr>
      <w:r>
        <w:rPr/>
        <w:t>6. Design Principles</w:t>
      </w:r>
    </w:p>
    <w:p>
      <w:pPr>
        <w:pStyle w:val="BodyText"/>
        <w:bidi w:val="0"/>
        <w:jc w:val="left"/>
        <w:rPr/>
      </w:pPr>
      <w:r>
        <w:rPr/>
        <w:t xml:space="preserve">An implementation of </w:t>
      </w:r>
      <w:r>
        <w:rPr>
          <w:rStyle w:val="SourceText"/>
        </w:rPr>
        <w:t>TAK</w:t>
      </w:r>
      <w:r>
        <w:rPr/>
        <w:t>:</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provide a consistent harness contract for how governed agents are assembled, invoked, supervised, and evidenced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mediate all consequential agent action through an explicit control plane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treat mediation as one responsibility of a broader governed harness rather than as the entirety of the kernel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separate human authority from model capability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load only approved operating profile state for governed agents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treat tool invocation as governed execution, not model free-form behavior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treat provider rate, quota, budget, and availability constraints as kernel-governed runtime concerns rather than application-local exception handling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preserve an auditable chain from human authority to agent action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treat qualification as a ceiling on autonomy rather than as authorization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prevent proactivity preferences from widening authority, qualification, data eligibility, or mandatory oversight </w:t>
      </w:r>
    </w:p>
    <w:p>
      <w:pPr>
        <w:pStyle w:val="BodyText"/>
        <w:numPr>
          <w:ilvl w:val="0"/>
          <w:numId w:val="11"/>
        </w:numPr>
        <w:tabs>
          <w:tab w:val="clear" w:pos="1134"/>
          <w:tab w:val="left" w:pos="709" w:leader="none"/>
        </w:tabs>
        <w:bidi w:val="0"/>
        <w:spacing w:before="0" w:after="0"/>
        <w:ind w:hanging="283" w:left="709"/>
        <w:jc w:val="left"/>
        <w:rPr/>
      </w:pPr>
      <w:r>
        <w:rPr>
          <w:rStyle w:val="SourceText"/>
        </w:rPr>
        <w:t>MUST</w:t>
      </w:r>
      <w:r>
        <w:rPr/>
        <w:t xml:space="preserve"> make material runtime-state changes visible to policy and audit layers </w:t>
      </w:r>
    </w:p>
    <w:p>
      <w:pPr>
        <w:pStyle w:val="BodyText"/>
        <w:numPr>
          <w:ilvl w:val="0"/>
          <w:numId w:val="11"/>
        </w:numPr>
        <w:tabs>
          <w:tab w:val="clear" w:pos="1134"/>
          <w:tab w:val="left" w:pos="709" w:leader="none"/>
        </w:tabs>
        <w:bidi w:val="0"/>
        <w:spacing w:before="0" w:after="0"/>
        <w:ind w:hanging="283" w:left="709"/>
        <w:jc w:val="left"/>
        <w:rPr/>
      </w:pPr>
      <w:r>
        <w:rPr>
          <w:rStyle w:val="SourceText"/>
        </w:rPr>
        <w:t>SHOULD</w:t>
      </w:r>
      <w:r>
        <w:rPr/>
        <w:t xml:space="preserve"> minimize the tools and context exposed to an agent at any point in time </w:t>
      </w:r>
    </w:p>
    <w:p>
      <w:pPr>
        <w:pStyle w:val="BodyText"/>
        <w:numPr>
          <w:ilvl w:val="0"/>
          <w:numId w:val="11"/>
        </w:numPr>
        <w:tabs>
          <w:tab w:val="clear" w:pos="1134"/>
          <w:tab w:val="left" w:pos="709" w:leader="none"/>
        </w:tabs>
        <w:bidi w:val="0"/>
        <w:spacing w:before="0" w:after="0"/>
        <w:ind w:hanging="283" w:left="709"/>
        <w:jc w:val="left"/>
        <w:rPr/>
      </w:pPr>
      <w:r>
        <w:rPr>
          <w:rStyle w:val="SourceText"/>
        </w:rPr>
        <w:t>SHOULD</w:t>
      </w:r>
      <w:r>
        <w:rPr/>
        <w:t xml:space="preserve"> favor bounded specialists over unconstrained generalists for operational tasks </w:t>
      </w:r>
    </w:p>
    <w:p>
      <w:pPr>
        <w:pStyle w:val="BodyText"/>
        <w:numPr>
          <w:ilvl w:val="0"/>
          <w:numId w:val="11"/>
        </w:numPr>
        <w:tabs>
          <w:tab w:val="clear" w:pos="1134"/>
          <w:tab w:val="left" w:pos="709" w:leader="none"/>
        </w:tabs>
        <w:bidi w:val="0"/>
        <w:spacing w:before="0" w:after="0"/>
        <w:ind w:hanging="283" w:left="709"/>
        <w:jc w:val="left"/>
        <w:rPr/>
      </w:pPr>
      <w:r>
        <w:rPr>
          <w:rStyle w:val="SourceText"/>
        </w:rPr>
        <w:t>SHOULD</w:t>
      </w:r>
      <w:r>
        <w:rPr/>
        <w:t xml:space="preserve"> assume multi-provider operation may be necessary for resilience, policy fit, or capability coverage </w:t>
      </w:r>
    </w:p>
    <w:p>
      <w:pPr>
        <w:pStyle w:val="BodyText"/>
        <w:numPr>
          <w:ilvl w:val="0"/>
          <w:numId w:val="11"/>
        </w:numPr>
        <w:tabs>
          <w:tab w:val="clear" w:pos="1134"/>
          <w:tab w:val="left" w:pos="709" w:leader="none"/>
        </w:tabs>
        <w:bidi w:val="0"/>
        <w:ind w:hanging="283" w:left="709"/>
        <w:jc w:val="left"/>
        <w:rPr/>
      </w:pPr>
      <w:r>
        <w:rPr>
          <w:rStyle w:val="SourceText"/>
        </w:rPr>
        <w:t>MAY</w:t>
      </w:r>
      <w:r>
        <w:rPr/>
        <w:t xml:space="preserve"> increase autonomy only where evidence and policy justify doing so </w:t>
      </w:r>
    </w:p>
    <w:p>
      <w:pPr>
        <w:pStyle w:val="Heading2"/>
        <w:bidi w:val="0"/>
        <w:jc w:val="left"/>
        <w:rPr/>
      </w:pPr>
      <w:r>
        <w:rPr/>
        <w:t>7. Runtime Trust Model</w:t>
      </w:r>
    </w:p>
    <w:p>
      <w:pPr>
        <w:pStyle w:val="Heading3"/>
        <w:bidi w:val="0"/>
        <w:jc w:val="left"/>
        <w:rPr/>
      </w:pPr>
      <w:r>
        <w:rPr/>
        <w:t>7.1 Required Control Layers</w:t>
      </w:r>
    </w:p>
    <w:p>
      <w:pPr>
        <w:pStyle w:val="BodyText"/>
        <w:bidi w:val="0"/>
        <w:jc w:val="left"/>
        <w:rPr/>
      </w:pPr>
      <w:r>
        <w:rPr/>
        <w:t xml:space="preserve">A conforming implementation </w:t>
      </w:r>
      <w:r>
        <w:rPr>
          <w:rStyle w:val="SourceText"/>
        </w:rPr>
        <w:t>MUST</w:t>
      </w:r>
      <w:r>
        <w:rPr/>
        <w:t xml:space="preserve"> apply runtime control in layers. At minimum, those layers </w:t>
      </w:r>
      <w:r>
        <w:rPr>
          <w:rStyle w:val="SourceText"/>
        </w:rPr>
        <w:t>MUST</w:t>
      </w:r>
      <w:r>
        <w:rPr/>
        <w:t xml:space="preserve"> include:</w:t>
      </w:r>
    </w:p>
    <w:p>
      <w:pPr>
        <w:pStyle w:val="BodyText"/>
        <w:numPr>
          <w:ilvl w:val="0"/>
          <w:numId w:val="12"/>
        </w:numPr>
        <w:tabs>
          <w:tab w:val="clear" w:pos="1134"/>
          <w:tab w:val="left" w:pos="709" w:leader="none"/>
        </w:tabs>
        <w:bidi w:val="0"/>
        <w:spacing w:before="0" w:after="0"/>
        <w:ind w:hanging="283" w:left="709"/>
        <w:jc w:val="left"/>
        <w:rPr/>
      </w:pPr>
      <w:r>
        <w:rPr/>
        <w:t xml:space="preserve">authentication of the human or calling system </w:t>
      </w:r>
    </w:p>
    <w:p>
      <w:pPr>
        <w:pStyle w:val="BodyText"/>
        <w:numPr>
          <w:ilvl w:val="0"/>
          <w:numId w:val="12"/>
        </w:numPr>
        <w:tabs>
          <w:tab w:val="clear" w:pos="1134"/>
          <w:tab w:val="left" w:pos="709" w:leader="none"/>
        </w:tabs>
        <w:bidi w:val="0"/>
        <w:spacing w:before="0" w:after="0"/>
        <w:ind w:hanging="283" w:left="709"/>
        <w:jc w:val="left"/>
        <w:rPr/>
      </w:pPr>
      <w:r>
        <w:rPr/>
        <w:t xml:space="preserve">resolution of authority or role context </w:t>
      </w:r>
    </w:p>
    <w:p>
      <w:pPr>
        <w:pStyle w:val="BodyText"/>
        <w:numPr>
          <w:ilvl w:val="0"/>
          <w:numId w:val="12"/>
        </w:numPr>
        <w:tabs>
          <w:tab w:val="clear" w:pos="1134"/>
          <w:tab w:val="left" w:pos="709" w:leader="none"/>
        </w:tabs>
        <w:bidi w:val="0"/>
        <w:spacing w:before="0" w:after="0"/>
        <w:ind w:hanging="283" w:left="709"/>
        <w:jc w:val="left"/>
        <w:rPr/>
      </w:pPr>
      <w:r>
        <w:rPr/>
        <w:t xml:space="preserve">evaluation of allowed capabilities </w:t>
      </w:r>
    </w:p>
    <w:p>
      <w:pPr>
        <w:pStyle w:val="BodyText"/>
        <w:numPr>
          <w:ilvl w:val="0"/>
          <w:numId w:val="12"/>
        </w:numPr>
        <w:tabs>
          <w:tab w:val="clear" w:pos="1134"/>
          <w:tab w:val="left" w:pos="709" w:leader="none"/>
        </w:tabs>
        <w:bidi w:val="0"/>
        <w:spacing w:before="0" w:after="0"/>
        <w:ind w:hanging="283" w:left="709"/>
        <w:jc w:val="left"/>
        <w:rPr/>
      </w:pPr>
      <w:r>
        <w:rPr/>
        <w:t xml:space="preserve">agent-side grant or scope filtering </w:t>
      </w:r>
    </w:p>
    <w:p>
      <w:pPr>
        <w:pStyle w:val="BodyText"/>
        <w:numPr>
          <w:ilvl w:val="0"/>
          <w:numId w:val="12"/>
        </w:numPr>
        <w:tabs>
          <w:tab w:val="clear" w:pos="1134"/>
          <w:tab w:val="left" w:pos="709" w:leader="none"/>
        </w:tabs>
        <w:bidi w:val="0"/>
        <w:ind w:hanging="283" w:left="709"/>
        <w:jc w:val="left"/>
        <w:rPr/>
      </w:pPr>
      <w:r>
        <w:rPr/>
        <w:t xml:space="preserve">execution gating for side-effecting operations </w:t>
      </w:r>
    </w:p>
    <w:p>
      <w:pPr>
        <w:pStyle w:val="BodyText"/>
        <w:bidi w:val="0"/>
        <w:jc w:val="left"/>
        <w:rPr/>
      </w:pPr>
      <w:r>
        <w:rPr/>
        <w:t xml:space="preserve">The runtime </w:t>
      </w:r>
      <w:r>
        <w:rPr>
          <w:rStyle w:val="SourceText"/>
        </w:rPr>
        <w:t>MUST NOT</w:t>
      </w:r>
      <w:r>
        <w:rPr/>
        <w:t xml:space="preserve"> allow a lower layer to widen permissions restricted by a higher layer.</w:t>
      </w:r>
    </w:p>
    <w:p>
      <w:pPr>
        <w:pStyle w:val="Heading3"/>
        <w:bidi w:val="0"/>
        <w:jc w:val="left"/>
        <w:rPr/>
      </w:pPr>
      <w:r>
        <w:rPr/>
        <w:t>7.2 Effective Permission Rule</w:t>
      </w:r>
    </w:p>
    <w:p>
      <w:pPr>
        <w:pStyle w:val="BodyText"/>
        <w:bidi w:val="0"/>
        <w:jc w:val="left"/>
        <w:rPr/>
      </w:pPr>
      <w:r>
        <w:rPr/>
        <w:t xml:space="preserve">For any </w:t>
      </w:r>
      <w:r>
        <w:rPr>
          <w:rStyle w:val="SourceText"/>
        </w:rPr>
        <w:t>(principal, agent, tool)</w:t>
      </w:r>
      <w:r>
        <w:rPr/>
        <w:t xml:space="preserve"> combination, the runtime </w:t>
      </w:r>
      <w:r>
        <w:rPr>
          <w:rStyle w:val="SourceText"/>
        </w:rPr>
        <w:t>MUST</w:t>
      </w:r>
      <w:r>
        <w:rPr/>
        <w:t xml:space="preserve"> compute effective permission as the intersection of:</w:t>
      </w:r>
    </w:p>
    <w:p>
      <w:pPr>
        <w:pStyle w:val="BodyText"/>
        <w:numPr>
          <w:ilvl w:val="0"/>
          <w:numId w:val="13"/>
        </w:numPr>
        <w:tabs>
          <w:tab w:val="clear" w:pos="1134"/>
          <w:tab w:val="left" w:pos="709" w:leader="none"/>
        </w:tabs>
        <w:bidi w:val="0"/>
        <w:spacing w:before="0" w:after="0"/>
        <w:ind w:hanging="283" w:left="709"/>
        <w:jc w:val="left"/>
        <w:rPr/>
      </w:pPr>
      <w:r>
        <w:rPr/>
        <w:t xml:space="preserve">what the principal is allowed to do </w:t>
      </w:r>
    </w:p>
    <w:p>
      <w:pPr>
        <w:pStyle w:val="BodyText"/>
        <w:numPr>
          <w:ilvl w:val="0"/>
          <w:numId w:val="13"/>
        </w:numPr>
        <w:tabs>
          <w:tab w:val="clear" w:pos="1134"/>
          <w:tab w:val="left" w:pos="709" w:leader="none"/>
        </w:tabs>
        <w:bidi w:val="0"/>
        <w:spacing w:before="0" w:after="0"/>
        <w:ind w:hanging="283" w:left="709"/>
        <w:jc w:val="left"/>
        <w:rPr/>
      </w:pPr>
      <w:r>
        <w:rPr/>
        <w:t xml:space="preserve">what the agent is allowed to do </w:t>
      </w:r>
    </w:p>
    <w:p>
      <w:pPr>
        <w:pStyle w:val="BodyText"/>
        <w:numPr>
          <w:ilvl w:val="0"/>
          <w:numId w:val="13"/>
        </w:numPr>
        <w:tabs>
          <w:tab w:val="clear" w:pos="1134"/>
          <w:tab w:val="left" w:pos="709" w:leader="none"/>
        </w:tabs>
        <w:bidi w:val="0"/>
        <w:ind w:hanging="283" w:left="709"/>
        <w:jc w:val="left"/>
        <w:rPr/>
      </w:pPr>
      <w:r>
        <w:rPr/>
        <w:t xml:space="preserve">what the route, workflow, or context is allowed to expose </w:t>
      </w:r>
    </w:p>
    <w:p>
      <w:pPr>
        <w:pStyle w:val="BodyText"/>
        <w:bidi w:val="0"/>
        <w:jc w:val="left"/>
        <w:rPr/>
      </w:pPr>
      <w:r>
        <w:rPr/>
        <w:t xml:space="preserve">The runtime </w:t>
      </w:r>
      <w:r>
        <w:rPr>
          <w:rStyle w:val="SourceText"/>
        </w:rPr>
        <w:t>MUST NOT</w:t>
      </w:r>
      <w:r>
        <w:rPr/>
        <w:t xml:space="preserve"> treat the model's request as sufficient evidence of authorization.</w:t>
      </w:r>
    </w:p>
    <w:p>
      <w:pPr>
        <w:pStyle w:val="Heading3"/>
        <w:bidi w:val="0"/>
        <w:jc w:val="left"/>
        <w:rPr/>
      </w:pPr>
      <w:r>
        <w:rPr/>
        <w:t>7.3 Domain and Route Scoping</w:t>
      </w:r>
    </w:p>
    <w:p>
      <w:pPr>
        <w:pStyle w:val="BodyText"/>
        <w:bidi w:val="0"/>
        <w:jc w:val="left"/>
        <w:rPr/>
      </w:pPr>
      <w:r>
        <w:rPr/>
        <w:t xml:space="preserve">The runtime </w:t>
      </w:r>
      <w:r>
        <w:rPr>
          <w:rStyle w:val="SourceText"/>
        </w:rPr>
        <w:t>SHOULD</w:t>
      </w:r>
      <w:r>
        <w:rPr/>
        <w:t xml:space="preserve"> expose only the domain-relevant subset of tools and context for a given route, task, or workflow stage.</w:t>
      </w:r>
    </w:p>
    <w:p>
      <w:pPr>
        <w:pStyle w:val="BodyText"/>
        <w:bidi w:val="0"/>
        <w:jc w:val="left"/>
        <w:rPr/>
      </w:pPr>
      <w:r>
        <w:rPr/>
        <w:t>This is not only a usability optimization. It is a control. Smaller, better-bounded tool surfaces reduce:</w:t>
      </w:r>
    </w:p>
    <w:p>
      <w:pPr>
        <w:pStyle w:val="BodyText"/>
        <w:numPr>
          <w:ilvl w:val="0"/>
          <w:numId w:val="14"/>
        </w:numPr>
        <w:tabs>
          <w:tab w:val="clear" w:pos="1134"/>
          <w:tab w:val="left" w:pos="709" w:leader="none"/>
        </w:tabs>
        <w:bidi w:val="0"/>
        <w:spacing w:before="0" w:after="0"/>
        <w:ind w:hanging="283" w:left="709"/>
        <w:jc w:val="left"/>
        <w:rPr/>
      </w:pPr>
      <w:r>
        <w:rPr/>
        <w:t xml:space="preserve">mis-selection of tools </w:t>
      </w:r>
    </w:p>
    <w:p>
      <w:pPr>
        <w:pStyle w:val="BodyText"/>
        <w:numPr>
          <w:ilvl w:val="0"/>
          <w:numId w:val="14"/>
        </w:numPr>
        <w:tabs>
          <w:tab w:val="clear" w:pos="1134"/>
          <w:tab w:val="left" w:pos="709" w:leader="none"/>
        </w:tabs>
        <w:bidi w:val="0"/>
        <w:spacing w:before="0" w:after="0"/>
        <w:ind w:hanging="283" w:left="709"/>
        <w:jc w:val="left"/>
        <w:rPr/>
      </w:pPr>
      <w:r>
        <w:rPr/>
        <w:t xml:space="preserve">hallucinated capability claims </w:t>
      </w:r>
    </w:p>
    <w:p>
      <w:pPr>
        <w:pStyle w:val="BodyText"/>
        <w:numPr>
          <w:ilvl w:val="0"/>
          <w:numId w:val="14"/>
        </w:numPr>
        <w:tabs>
          <w:tab w:val="clear" w:pos="1134"/>
          <w:tab w:val="left" w:pos="709" w:leader="none"/>
        </w:tabs>
        <w:bidi w:val="0"/>
        <w:spacing w:before="0" w:after="0"/>
        <w:ind w:hanging="283" w:left="709"/>
        <w:jc w:val="left"/>
        <w:rPr/>
      </w:pPr>
      <w:r>
        <w:rPr/>
        <w:t xml:space="preserve">prompt injection blast radius </w:t>
      </w:r>
    </w:p>
    <w:p>
      <w:pPr>
        <w:pStyle w:val="BodyText"/>
        <w:numPr>
          <w:ilvl w:val="0"/>
          <w:numId w:val="14"/>
        </w:numPr>
        <w:tabs>
          <w:tab w:val="clear" w:pos="1134"/>
          <w:tab w:val="left" w:pos="709" w:leader="none"/>
        </w:tabs>
        <w:bidi w:val="0"/>
        <w:ind w:hanging="283" w:left="709"/>
        <w:jc w:val="left"/>
        <w:rPr/>
      </w:pPr>
      <w:r>
        <w:rPr/>
        <w:t xml:space="preserve">token waste </w:t>
      </w:r>
    </w:p>
    <w:p>
      <w:pPr>
        <w:pStyle w:val="BodyText"/>
        <w:bidi w:val="0"/>
        <w:jc w:val="left"/>
        <w:rPr/>
      </w:pPr>
      <w:r>
        <w:rPr/>
        <w:drawing>
          <wp:inline distT="0" distB="0" distL="0" distR="0">
            <wp:extent cx="22402800" cy="4114800"/>
            <wp:effectExtent l="0" t="0" r="0" b="0"/>
            <wp:docPr id="3" name="Image3" descr="TAK authority la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TAK authority layers"/>
                    <pic:cNvPicPr>
                      <a:picLocks noChangeAspect="1" noChangeArrowheads="1"/>
                    </pic:cNvPicPr>
                  </pic:nvPicPr>
                  <pic:blipFill>
                    <a:blip r:embed="rId50"/>
                    <a:stretch>
                      <a:fillRect/>
                    </a:stretch>
                  </pic:blipFill>
                  <pic:spPr bwMode="auto">
                    <a:xfrm>
                      <a:off x="0" y="0"/>
                      <a:ext cx="22402800" cy="4114800"/>
                    </a:xfrm>
                    <a:prstGeom prst="rect">
                      <a:avLst/>
                    </a:prstGeom>
                    <a:noFill/>
                  </pic:spPr>
                </pic:pic>
              </a:graphicData>
            </a:graphic>
          </wp:inline>
        </w:drawing>
      </w:r>
    </w:p>
    <w:p>
      <w:pPr>
        <w:pStyle w:val="BodyText"/>
        <w:bidi w:val="0"/>
        <w:jc w:val="left"/>
        <w:rPr/>
      </w:pPr>
      <w:r>
        <w:rPr>
          <w:rStyle w:val="Emphasis"/>
        </w:rPr>
        <w:t xml:space="preserve">Figure 1. Layered authority mediation is a required kernel behavior inside the broader </w:t>
      </w:r>
      <w:r>
        <w:rPr>
          <w:rStyle w:val="SourceText"/>
        </w:rPr>
        <w:t>TAK</w:t>
      </w:r>
      <w:r>
        <w:rPr>
          <w:rStyle w:val="Emphasis"/>
        </w:rPr>
        <w:t xml:space="preserve"> harness, not only a UI convenience.</w:t>
      </w:r>
    </w:p>
    <w:p>
      <w:pPr>
        <w:pStyle w:val="Heading3"/>
        <w:bidi w:val="0"/>
        <w:jc w:val="left"/>
        <w:rPr/>
      </w:pPr>
      <w:r>
        <w:rPr/>
        <w:t>7.4 Approved Operating Profiles</w:t>
      </w:r>
    </w:p>
    <w:p>
      <w:pPr>
        <w:pStyle w:val="BodyText"/>
        <w:bidi w:val="0"/>
        <w:jc w:val="left"/>
        <w:rPr/>
      </w:pPr>
      <w:r>
        <w:rPr/>
        <w:t xml:space="preserve">A conforming runtime </w:t>
      </w:r>
      <w:r>
        <w:rPr>
          <w:rStyle w:val="SourceText"/>
        </w:rPr>
        <w:t>MUST</w:t>
      </w:r>
      <w:r>
        <w:rPr/>
        <w:t xml:space="preserve"> treat an agent's approved operating profile as a governed runtime artifact.</w:t>
      </w:r>
    </w:p>
    <w:p>
      <w:pPr>
        <w:pStyle w:val="BodyText"/>
        <w:bidi w:val="0"/>
        <w:jc w:val="left"/>
        <w:rPr/>
      </w:pPr>
      <w:r>
        <w:rPr/>
        <w:t xml:space="preserve">At minimum, the operating profile </w:t>
      </w:r>
      <w:r>
        <w:rPr>
          <w:rStyle w:val="SourceText"/>
        </w:rPr>
        <w:t>SHOULD</w:t>
      </w:r>
      <w:r>
        <w:rPr/>
        <w:t xml:space="preserve"> include:</w:t>
      </w:r>
    </w:p>
    <w:p>
      <w:pPr>
        <w:pStyle w:val="BodyText"/>
        <w:numPr>
          <w:ilvl w:val="0"/>
          <w:numId w:val="15"/>
        </w:numPr>
        <w:tabs>
          <w:tab w:val="clear" w:pos="1134"/>
          <w:tab w:val="left" w:pos="709" w:leader="none"/>
        </w:tabs>
        <w:bidi w:val="0"/>
        <w:spacing w:before="0" w:after="0"/>
        <w:ind w:hanging="283" w:left="709"/>
        <w:jc w:val="left"/>
        <w:rPr/>
      </w:pPr>
      <w:r>
        <w:rPr/>
        <w:t xml:space="preserve">model or provider binding </w:t>
      </w:r>
    </w:p>
    <w:p>
      <w:pPr>
        <w:pStyle w:val="BodyText"/>
        <w:numPr>
          <w:ilvl w:val="0"/>
          <w:numId w:val="15"/>
        </w:numPr>
        <w:tabs>
          <w:tab w:val="clear" w:pos="1134"/>
          <w:tab w:val="left" w:pos="709" w:leader="none"/>
        </w:tabs>
        <w:bidi w:val="0"/>
        <w:spacing w:before="0" w:after="0"/>
        <w:ind w:hanging="283" w:left="709"/>
        <w:jc w:val="left"/>
        <w:rPr/>
      </w:pPr>
      <w:r>
        <w:rPr/>
        <w:t xml:space="preserve">immutable and governed instruction references </w:t>
      </w:r>
    </w:p>
    <w:p>
      <w:pPr>
        <w:pStyle w:val="BodyText"/>
        <w:numPr>
          <w:ilvl w:val="0"/>
          <w:numId w:val="15"/>
        </w:numPr>
        <w:tabs>
          <w:tab w:val="clear" w:pos="1134"/>
          <w:tab w:val="left" w:pos="709" w:leader="none"/>
        </w:tabs>
        <w:bidi w:val="0"/>
        <w:spacing w:before="0" w:after="0"/>
        <w:ind w:hanging="283" w:left="709"/>
        <w:jc w:val="left"/>
        <w:rPr/>
      </w:pPr>
      <w:r>
        <w:rPr/>
        <w:t xml:space="preserve">enabled tool surface </w:t>
      </w:r>
    </w:p>
    <w:p>
      <w:pPr>
        <w:pStyle w:val="BodyText"/>
        <w:numPr>
          <w:ilvl w:val="0"/>
          <w:numId w:val="15"/>
        </w:numPr>
        <w:tabs>
          <w:tab w:val="clear" w:pos="1134"/>
          <w:tab w:val="left" w:pos="709" w:leader="none"/>
        </w:tabs>
        <w:bidi w:val="0"/>
        <w:spacing w:before="0" w:after="0"/>
        <w:ind w:hanging="283" w:left="709"/>
        <w:jc w:val="left"/>
        <w:rPr/>
      </w:pPr>
      <w:r>
        <w:rPr/>
        <w:t xml:space="preserve">autonomy and oversight posture </w:t>
      </w:r>
    </w:p>
    <w:p>
      <w:pPr>
        <w:pStyle w:val="BodyText"/>
        <w:numPr>
          <w:ilvl w:val="0"/>
          <w:numId w:val="15"/>
        </w:numPr>
        <w:tabs>
          <w:tab w:val="clear" w:pos="1134"/>
          <w:tab w:val="left" w:pos="709" w:leader="none"/>
        </w:tabs>
        <w:bidi w:val="0"/>
        <w:spacing w:before="0" w:after="0"/>
        <w:ind w:hanging="283" w:left="709"/>
        <w:jc w:val="left"/>
        <w:rPr/>
      </w:pPr>
      <w:r>
        <w:rPr/>
        <w:t xml:space="preserve">relevant verifier references </w:t>
      </w:r>
    </w:p>
    <w:p>
      <w:pPr>
        <w:pStyle w:val="BodyText"/>
        <w:numPr>
          <w:ilvl w:val="0"/>
          <w:numId w:val="15"/>
        </w:numPr>
        <w:tabs>
          <w:tab w:val="clear" w:pos="1134"/>
          <w:tab w:val="left" w:pos="709" w:leader="none"/>
        </w:tabs>
        <w:bidi w:val="0"/>
        <w:ind w:hanging="283" w:left="709"/>
        <w:jc w:val="left"/>
        <w:rPr/>
      </w:pPr>
      <w:r>
        <w:rPr/>
        <w:t xml:space="preserve">current approved badge or authorization posture references </w:t>
      </w:r>
    </w:p>
    <w:p>
      <w:pPr>
        <w:pStyle w:val="BodyText"/>
        <w:bidi w:val="0"/>
        <w:jc w:val="left"/>
        <w:rPr/>
      </w:pPr>
      <w:r>
        <w:rPr/>
        <w:t xml:space="preserve">For governed agents, the runtime </w:t>
      </w:r>
      <w:r>
        <w:rPr>
          <w:rStyle w:val="SourceText"/>
        </w:rPr>
        <w:t>MUST NOT</w:t>
      </w:r>
      <w:r>
        <w:rPr/>
        <w:t xml:space="preserve"> execute against undeclared or unapproved materially relevant profile state.</w:t>
      </w:r>
    </w:p>
    <w:p>
      <w:pPr>
        <w:pStyle w:val="Heading3"/>
        <w:bidi w:val="0"/>
        <w:jc w:val="left"/>
        <w:rPr/>
      </w:pPr>
      <w:r>
        <w:rPr/>
        <w:t>7.5 Runtime Identity Proof Posture</w:t>
      </w:r>
    </w:p>
    <w:p>
      <w:pPr>
        <w:pStyle w:val="BodyText"/>
        <w:bidi w:val="0"/>
        <w:jc w:val="left"/>
        <w:rPr/>
      </w:pPr>
      <w:r>
        <w:rPr/>
        <w:t xml:space="preserve">For an identified governed agent, the runtime </w:t>
      </w:r>
      <w:r>
        <w:rPr>
          <w:rStyle w:val="SourceText"/>
        </w:rPr>
        <w:t>SHOULD</w:t>
      </w:r>
      <w:r>
        <w:rPr/>
        <w:t xml:space="preserve"> be able to support a stronger claim than:</w:t>
      </w:r>
    </w:p>
    <w:p>
      <w:pPr>
        <w:pStyle w:val="BodyText"/>
        <w:numPr>
          <w:ilvl w:val="0"/>
          <w:numId w:val="16"/>
        </w:numPr>
        <w:tabs>
          <w:tab w:val="clear" w:pos="1134"/>
          <w:tab w:val="left" w:pos="709" w:leader="none"/>
        </w:tabs>
        <w:bidi w:val="0"/>
        <w:ind w:hanging="283" w:left="709"/>
        <w:jc w:val="left"/>
        <w:rPr/>
      </w:pPr>
      <w:r>
        <w:rPr/>
        <w:t xml:space="preserve">"the agent says it is X" </w:t>
      </w:r>
    </w:p>
    <w:p>
      <w:pPr>
        <w:pStyle w:val="BodyText"/>
        <w:bidi w:val="0"/>
        <w:jc w:val="left"/>
        <w:rPr/>
      </w:pPr>
      <w:r>
        <w:rPr/>
        <w:t>The stronger claim is:</w:t>
      </w:r>
    </w:p>
    <w:p>
      <w:pPr>
        <w:pStyle w:val="BodyText"/>
        <w:numPr>
          <w:ilvl w:val="0"/>
          <w:numId w:val="17"/>
        </w:numPr>
        <w:tabs>
          <w:tab w:val="clear" w:pos="1134"/>
          <w:tab w:val="left" w:pos="709" w:leader="none"/>
        </w:tabs>
        <w:bidi w:val="0"/>
        <w:spacing w:before="0" w:after="0"/>
        <w:ind w:hanging="283" w:left="709"/>
        <w:jc w:val="left"/>
        <w:rPr/>
      </w:pPr>
      <w:r>
        <w:rPr/>
        <w:t xml:space="preserve">the subject identity is X </w:t>
      </w:r>
    </w:p>
    <w:p>
      <w:pPr>
        <w:pStyle w:val="BodyText"/>
        <w:numPr>
          <w:ilvl w:val="0"/>
          <w:numId w:val="17"/>
        </w:numPr>
        <w:tabs>
          <w:tab w:val="clear" w:pos="1134"/>
          <w:tab w:val="left" w:pos="709" w:leader="none"/>
        </w:tabs>
        <w:bidi w:val="0"/>
        <w:spacing w:before="0" w:after="0"/>
        <w:ind w:hanging="283" w:left="709"/>
        <w:jc w:val="left"/>
        <w:rPr/>
      </w:pPr>
      <w:r>
        <w:rPr/>
        <w:t xml:space="preserve">the approved operating profile is Y </w:t>
      </w:r>
    </w:p>
    <w:p>
      <w:pPr>
        <w:pStyle w:val="BodyText"/>
        <w:numPr>
          <w:ilvl w:val="0"/>
          <w:numId w:val="17"/>
        </w:numPr>
        <w:tabs>
          <w:tab w:val="clear" w:pos="1134"/>
          <w:tab w:val="left" w:pos="709" w:leader="none"/>
        </w:tabs>
        <w:bidi w:val="0"/>
        <w:ind w:hanging="283" w:left="709"/>
        <w:jc w:val="left"/>
        <w:rPr/>
      </w:pPr>
      <w:r>
        <w:rPr/>
        <w:t xml:space="preserve">the runtime is executing that profile under trusted kernel enforcement </w:t>
      </w:r>
    </w:p>
    <w:p>
      <w:pPr>
        <w:pStyle w:val="BodyText"/>
        <w:bidi w:val="0"/>
        <w:jc w:val="left"/>
        <w:rPr/>
      </w:pPr>
      <w:r>
        <w:rPr>
          <w:rStyle w:val="SourceText"/>
        </w:rPr>
        <w:t>TAK</w:t>
      </w:r>
      <w:r>
        <w:rPr/>
        <w:t xml:space="preserve"> does not define the external identity namespace itself. That belongs to companion identity work such as </w:t>
      </w:r>
      <w:r>
        <w:rPr>
          <w:rStyle w:val="SourceText"/>
        </w:rPr>
        <w:t>GAID</w:t>
      </w:r>
      <w:r>
        <w:rPr/>
        <w:t xml:space="preserve">. </w:t>
      </w:r>
      <w:r>
        <w:rPr>
          <w:rStyle w:val="SourceText"/>
        </w:rPr>
        <w:t>TAK</w:t>
      </w:r>
      <w:r>
        <w:rPr/>
        <w:t xml:space="preserve"> does, however, define the runtime conditions under which such identity claims can be trusted in operation.</w:t>
      </w:r>
    </w:p>
    <w:p>
      <w:pPr>
        <w:pStyle w:val="Heading3"/>
        <w:bidi w:val="0"/>
        <w:jc w:val="left"/>
        <w:rPr/>
      </w:pPr>
      <w:r>
        <w:rPr/>
        <w:t>7.6 Core Runtime Semantics Versus Protocol Carriers</w:t>
      </w:r>
    </w:p>
    <w:p>
      <w:pPr>
        <w:pStyle w:val="BodyText"/>
        <w:bidi w:val="0"/>
        <w:jc w:val="left"/>
        <w:rPr/>
      </w:pPr>
      <w:r>
        <w:rPr>
          <w:rStyle w:val="SourceText"/>
        </w:rPr>
        <w:t>TAK</w:t>
      </w:r>
      <w:r>
        <w:rPr/>
        <w:t xml:space="preserve"> implementations </w:t>
      </w:r>
      <w:r>
        <w:rPr>
          <w:rStyle w:val="SourceText"/>
        </w:rPr>
        <w:t>SHOULD</w:t>
      </w:r>
      <w:r>
        <w:rPr/>
        <w:t xml:space="preserve"> follow a stable-core and profile pattern similar to mature identity and directory standards.</w:t>
      </w:r>
    </w:p>
    <w:p>
      <w:pPr>
        <w:pStyle w:val="BodyText"/>
        <w:bidi w:val="0"/>
        <w:jc w:val="left"/>
        <w:rPr/>
      </w:pPr>
      <w:r>
        <w:rPr/>
        <w:t>In that pattern:</w:t>
      </w:r>
    </w:p>
    <w:p>
      <w:pPr>
        <w:pStyle w:val="BodyText"/>
        <w:numPr>
          <w:ilvl w:val="0"/>
          <w:numId w:val="18"/>
        </w:numPr>
        <w:tabs>
          <w:tab w:val="clear" w:pos="1134"/>
          <w:tab w:val="left" w:pos="709" w:leader="none"/>
        </w:tabs>
        <w:bidi w:val="0"/>
        <w:spacing w:before="0" w:after="0"/>
        <w:ind w:hanging="283" w:left="709"/>
        <w:jc w:val="left"/>
        <w:rPr/>
      </w:pPr>
      <w:r>
        <w:rPr/>
        <w:t xml:space="preserve">the </w:t>
      </w:r>
      <w:r>
        <w:rPr>
          <w:rStyle w:val="Strong"/>
        </w:rPr>
        <w:t xml:space="preserve">core </w:t>
      </w:r>
      <w:r>
        <w:rPr>
          <w:rStyle w:val="SourceText"/>
        </w:rPr>
        <w:t>TAK</w:t>
      </w:r>
      <w:r>
        <w:rPr>
          <w:rStyle w:val="Strong"/>
        </w:rPr>
        <w:t xml:space="preserve"> model</w:t>
      </w:r>
      <w:r>
        <w:rPr/>
        <w:t xml:space="preserve"> defines approved operating profile semantics, runtime enforcement rules, validation continuity rules, and attestation expectations </w:t>
      </w:r>
    </w:p>
    <w:p>
      <w:pPr>
        <w:pStyle w:val="BodyText"/>
        <w:numPr>
          <w:ilvl w:val="0"/>
          <w:numId w:val="18"/>
        </w:numPr>
        <w:tabs>
          <w:tab w:val="clear" w:pos="1134"/>
          <w:tab w:val="left" w:pos="709" w:leader="none"/>
        </w:tabs>
        <w:bidi w:val="0"/>
        <w:spacing w:before="0" w:after="0"/>
        <w:ind w:hanging="283" w:left="709"/>
        <w:jc w:val="left"/>
        <w:rPr/>
      </w:pPr>
      <w:r>
        <w:rPr>
          <w:rStyle w:val="Strong"/>
        </w:rPr>
        <w:t>runtime or deployment extensions</w:t>
      </w:r>
      <w:r>
        <w:rPr/>
        <w:t xml:space="preserve"> define additional environment-specific control fields without changing those core semantics </w:t>
      </w:r>
    </w:p>
    <w:p>
      <w:pPr>
        <w:pStyle w:val="BodyText"/>
        <w:numPr>
          <w:ilvl w:val="0"/>
          <w:numId w:val="18"/>
        </w:numPr>
        <w:tabs>
          <w:tab w:val="clear" w:pos="1134"/>
          <w:tab w:val="left" w:pos="709" w:leader="none"/>
        </w:tabs>
        <w:bidi w:val="0"/>
        <w:ind w:hanging="283" w:left="709"/>
        <w:jc w:val="left"/>
        <w:rPr/>
      </w:pPr>
      <w:r>
        <w:rPr>
          <w:rStyle w:val="Strong"/>
        </w:rPr>
        <w:t>protocol carriers or profiles</w:t>
      </w:r>
      <w:r>
        <w:rPr/>
        <w:t xml:space="preserve"> define how </w:t>
      </w:r>
      <w:r>
        <w:rPr>
          <w:rStyle w:val="SourceText"/>
        </w:rPr>
        <w:t>TAK</w:t>
      </w:r>
      <w:r>
        <w:rPr/>
        <w:t xml:space="preserve"> state is exposed through directories, APIs, event systems, or attestation envelopes </w:t>
      </w:r>
    </w:p>
    <w:p>
      <w:pPr>
        <w:pStyle w:val="BodyText"/>
        <w:bidi w:val="0"/>
        <w:jc w:val="left"/>
        <w:rPr/>
      </w:pPr>
      <w:r>
        <w:rPr>
          <w:rStyle w:val="SourceText"/>
        </w:rPr>
        <w:t>TAK</w:t>
      </w:r>
      <w:r>
        <w:rPr/>
        <w:t xml:space="preserve"> therefore </w:t>
      </w:r>
      <w:r>
        <w:rPr>
          <w:rStyle w:val="SourceText"/>
        </w:rPr>
        <w:t>MUST NOT</w:t>
      </w:r>
      <w:r>
        <w:rPr/>
        <w:t xml:space="preserve"> be treated as a replacement for </w:t>
      </w:r>
      <w:r>
        <w:rPr>
          <w:rStyle w:val="SourceText"/>
        </w:rPr>
        <w:t>LDAP</w:t>
      </w:r>
      <w:r>
        <w:rPr/>
        <w:t xml:space="preserve">, </w:t>
      </w:r>
      <w:r>
        <w:rPr>
          <w:rStyle w:val="SourceText"/>
        </w:rPr>
        <w:t>SCIM</w:t>
      </w:r>
      <w:r>
        <w:rPr/>
        <w:t>, HTTP, or message protocols. It defines what those carriers need to say about trusted runtime state, not the transport itself.</w:t>
      </w:r>
    </w:p>
    <w:p>
      <w:pPr>
        <w:pStyle w:val="Heading3"/>
        <w:bidi w:val="0"/>
        <w:jc w:val="left"/>
        <w:rPr/>
      </w:pPr>
      <w:r>
        <w:rPr/>
        <w:t>7.7 Material Change and Validation Continuity</w:t>
      </w:r>
    </w:p>
    <w:p>
      <w:pPr>
        <w:pStyle w:val="BodyText"/>
        <w:bidi w:val="0"/>
        <w:jc w:val="left"/>
        <w:rPr/>
      </w:pPr>
      <w:r>
        <w:rPr/>
        <w:t xml:space="preserve">The runtime </w:t>
      </w:r>
      <w:r>
        <w:rPr>
          <w:rStyle w:val="SourceText"/>
        </w:rPr>
        <w:t>MUST</w:t>
      </w:r>
      <w:r>
        <w:rPr/>
        <w:t xml:space="preserve"> treat material change as a trust-relevant event.</w:t>
      </w:r>
    </w:p>
    <w:p>
      <w:pPr>
        <w:pStyle w:val="BodyText"/>
        <w:bidi w:val="0"/>
        <w:jc w:val="left"/>
        <w:rPr/>
      </w:pPr>
      <w:r>
        <w:rPr/>
        <w:t>Material change includes:</w:t>
      </w:r>
    </w:p>
    <w:p>
      <w:pPr>
        <w:pStyle w:val="BodyText"/>
        <w:numPr>
          <w:ilvl w:val="0"/>
          <w:numId w:val="19"/>
        </w:numPr>
        <w:tabs>
          <w:tab w:val="clear" w:pos="1134"/>
          <w:tab w:val="left" w:pos="709" w:leader="none"/>
        </w:tabs>
        <w:bidi w:val="0"/>
        <w:spacing w:before="0" w:after="0"/>
        <w:ind w:hanging="283" w:left="709"/>
        <w:jc w:val="left"/>
        <w:rPr/>
      </w:pPr>
      <w:r>
        <w:rPr/>
        <w:t xml:space="preserve">changes to model or provider binding </w:t>
      </w:r>
    </w:p>
    <w:p>
      <w:pPr>
        <w:pStyle w:val="BodyText"/>
        <w:numPr>
          <w:ilvl w:val="0"/>
          <w:numId w:val="19"/>
        </w:numPr>
        <w:tabs>
          <w:tab w:val="clear" w:pos="1134"/>
          <w:tab w:val="left" w:pos="709" w:leader="none"/>
        </w:tabs>
        <w:bidi w:val="0"/>
        <w:spacing w:before="0" w:after="0"/>
        <w:ind w:hanging="283" w:left="709"/>
        <w:jc w:val="left"/>
        <w:rPr/>
      </w:pPr>
      <w:r>
        <w:rPr/>
        <w:t xml:space="preserve">changes to immutable or governed instruction bundles </w:t>
      </w:r>
    </w:p>
    <w:p>
      <w:pPr>
        <w:pStyle w:val="BodyText"/>
        <w:numPr>
          <w:ilvl w:val="0"/>
          <w:numId w:val="19"/>
        </w:numPr>
        <w:tabs>
          <w:tab w:val="clear" w:pos="1134"/>
          <w:tab w:val="left" w:pos="709" w:leader="none"/>
        </w:tabs>
        <w:bidi w:val="0"/>
        <w:spacing w:before="0" w:after="0"/>
        <w:ind w:hanging="283" w:left="709"/>
        <w:jc w:val="left"/>
        <w:rPr/>
      </w:pPr>
      <w:r>
        <w:rPr/>
        <w:t xml:space="preserve">changes to tool surface </w:t>
      </w:r>
    </w:p>
    <w:p>
      <w:pPr>
        <w:pStyle w:val="BodyText"/>
        <w:numPr>
          <w:ilvl w:val="0"/>
          <w:numId w:val="19"/>
        </w:numPr>
        <w:tabs>
          <w:tab w:val="clear" w:pos="1134"/>
          <w:tab w:val="left" w:pos="709" w:leader="none"/>
        </w:tabs>
        <w:bidi w:val="0"/>
        <w:spacing w:before="0" w:after="0"/>
        <w:ind w:hanging="283" w:left="709"/>
        <w:jc w:val="left"/>
        <w:rPr/>
      </w:pPr>
      <w:r>
        <w:rPr/>
        <w:t xml:space="preserve">changes to autonomy or approval posture </w:t>
      </w:r>
    </w:p>
    <w:p>
      <w:pPr>
        <w:pStyle w:val="BodyText"/>
        <w:numPr>
          <w:ilvl w:val="0"/>
          <w:numId w:val="19"/>
        </w:numPr>
        <w:tabs>
          <w:tab w:val="clear" w:pos="1134"/>
          <w:tab w:val="left" w:pos="709" w:leader="none"/>
        </w:tabs>
        <w:bidi w:val="0"/>
        <w:spacing w:before="0" w:after="0"/>
        <w:ind w:hanging="283" w:left="709"/>
        <w:jc w:val="left"/>
        <w:rPr/>
      </w:pPr>
      <w:r>
        <w:rPr/>
        <w:t xml:space="preserve">changes to the applicable job profile, qualification scheme, profession corpus, decision axes, or qualification evidence </w:t>
      </w:r>
    </w:p>
    <w:p>
      <w:pPr>
        <w:pStyle w:val="BodyText"/>
        <w:numPr>
          <w:ilvl w:val="0"/>
          <w:numId w:val="19"/>
        </w:numPr>
        <w:tabs>
          <w:tab w:val="clear" w:pos="1134"/>
          <w:tab w:val="left" w:pos="709" w:leader="none"/>
        </w:tabs>
        <w:bidi w:val="0"/>
        <w:spacing w:before="0" w:after="0"/>
        <w:ind w:hanging="283" w:left="709"/>
        <w:jc w:val="left"/>
        <w:rPr/>
      </w:pPr>
      <w:r>
        <w:rPr/>
        <w:t xml:space="preserve">changes to data classification, permitted use, residency, or stewarded quality requirements </w:t>
      </w:r>
    </w:p>
    <w:p>
      <w:pPr>
        <w:pStyle w:val="BodyText"/>
        <w:numPr>
          <w:ilvl w:val="0"/>
          <w:numId w:val="19"/>
        </w:numPr>
        <w:tabs>
          <w:tab w:val="clear" w:pos="1134"/>
          <w:tab w:val="left" w:pos="709" w:leader="none"/>
        </w:tabs>
        <w:bidi w:val="0"/>
        <w:spacing w:before="0" w:after="0"/>
        <w:ind w:hanging="283" w:left="709"/>
        <w:jc w:val="left"/>
        <w:rPr/>
      </w:pPr>
      <w:r>
        <w:rPr/>
        <w:t xml:space="preserve">changes to an approved routed-model substitution set or routing policy </w:t>
      </w:r>
    </w:p>
    <w:p>
      <w:pPr>
        <w:pStyle w:val="BodyText"/>
        <w:numPr>
          <w:ilvl w:val="0"/>
          <w:numId w:val="19"/>
        </w:numPr>
        <w:tabs>
          <w:tab w:val="clear" w:pos="1134"/>
          <w:tab w:val="left" w:pos="709" w:leader="none"/>
        </w:tabs>
        <w:bidi w:val="0"/>
        <w:ind w:hanging="283" w:left="709"/>
        <w:jc w:val="left"/>
        <w:rPr/>
      </w:pPr>
      <w:r>
        <w:rPr/>
        <w:t xml:space="preserve">changes in runtime dependencies that materially alter practical capability or risk </w:t>
      </w:r>
    </w:p>
    <w:p>
      <w:pPr>
        <w:pStyle w:val="BodyText"/>
        <w:bidi w:val="0"/>
        <w:jc w:val="left"/>
        <w:rPr/>
      </w:pPr>
      <w:r>
        <w:rPr/>
        <w:t xml:space="preserve">The same enduring subject identity </w:t>
      </w:r>
      <w:r>
        <w:rPr>
          <w:rStyle w:val="SourceText"/>
        </w:rPr>
        <w:t>MAY</w:t>
      </w:r>
      <w:r>
        <w:rPr/>
        <w:t xml:space="preserve"> remain valid while validation continuity is broken.</w:t>
      </w:r>
    </w:p>
    <w:p>
      <w:pPr>
        <w:pStyle w:val="BodyText"/>
        <w:bidi w:val="0"/>
        <w:jc w:val="left"/>
        <w:rPr/>
      </w:pPr>
      <w:r>
        <w:rPr/>
        <w:t xml:space="preserve">Therefore, the runtime </w:t>
      </w:r>
      <w:r>
        <w:rPr>
          <w:rStyle w:val="SourceText"/>
        </w:rPr>
        <w:t>SHOULD</w:t>
      </w:r>
      <w:r>
        <w:rPr/>
        <w:t xml:space="preserve"> distinguish:</w:t>
      </w:r>
    </w:p>
    <w:p>
      <w:pPr>
        <w:pStyle w:val="BodyText"/>
        <w:numPr>
          <w:ilvl w:val="0"/>
          <w:numId w:val="20"/>
        </w:numPr>
        <w:tabs>
          <w:tab w:val="clear" w:pos="1134"/>
          <w:tab w:val="left" w:pos="709" w:leader="none"/>
        </w:tabs>
        <w:bidi w:val="0"/>
        <w:spacing w:before="0" w:after="0"/>
        <w:ind w:hanging="283" w:left="709"/>
        <w:jc w:val="left"/>
        <w:rPr/>
      </w:pPr>
      <w:r>
        <w:rPr/>
        <w:t xml:space="preserve">identity continuity </w:t>
      </w:r>
    </w:p>
    <w:p>
      <w:pPr>
        <w:pStyle w:val="BodyText"/>
        <w:numPr>
          <w:ilvl w:val="0"/>
          <w:numId w:val="20"/>
        </w:numPr>
        <w:tabs>
          <w:tab w:val="clear" w:pos="1134"/>
          <w:tab w:val="left" w:pos="709" w:leader="none"/>
        </w:tabs>
        <w:bidi w:val="0"/>
        <w:ind w:hanging="283" w:left="709"/>
        <w:jc w:val="left"/>
        <w:rPr/>
      </w:pPr>
      <w:r>
        <w:rPr/>
        <w:t xml:space="preserve">validation continuity </w:t>
      </w:r>
    </w:p>
    <w:p>
      <w:pPr>
        <w:pStyle w:val="BodyText"/>
        <w:bidi w:val="0"/>
        <w:jc w:val="left"/>
        <w:rPr/>
      </w:pPr>
      <w:r>
        <w:rPr/>
        <w:t xml:space="preserve">and </w:t>
      </w:r>
      <w:r>
        <w:rPr>
          <w:rStyle w:val="SourceText"/>
        </w:rPr>
        <w:t>MUST NOT</w:t>
      </w:r>
      <w:r>
        <w:rPr/>
        <w:t xml:space="preserve"> silently assume they are equivalent.</w:t>
      </w:r>
    </w:p>
    <w:p>
      <w:pPr>
        <w:pStyle w:val="Heading3"/>
        <w:bidi w:val="0"/>
        <w:jc w:val="left"/>
        <w:rPr/>
      </w:pPr>
      <w:r>
        <w:rPr/>
        <w:t>7.8 Profile Fingerprints and Attestation</w:t>
      </w:r>
    </w:p>
    <w:p>
      <w:pPr>
        <w:pStyle w:val="BodyText"/>
        <w:bidi w:val="0"/>
        <w:jc w:val="left"/>
        <w:rPr/>
      </w:pPr>
      <w:r>
        <w:rPr/>
        <w:t xml:space="preserve">For governed agents, the runtime </w:t>
      </w:r>
      <w:r>
        <w:rPr>
          <w:rStyle w:val="SourceText"/>
        </w:rPr>
        <w:t>SHOULD</w:t>
      </w:r>
      <w:r>
        <w:rPr/>
        <w:t xml:space="preserve"> support:</w:t>
      </w:r>
    </w:p>
    <w:p>
      <w:pPr>
        <w:pStyle w:val="BodyText"/>
        <w:numPr>
          <w:ilvl w:val="0"/>
          <w:numId w:val="21"/>
        </w:numPr>
        <w:tabs>
          <w:tab w:val="clear" w:pos="1134"/>
          <w:tab w:val="left" w:pos="709" w:leader="none"/>
        </w:tabs>
        <w:bidi w:val="0"/>
        <w:spacing w:before="0" w:after="0"/>
        <w:ind w:hanging="283" w:left="709"/>
        <w:jc w:val="left"/>
        <w:rPr/>
      </w:pPr>
      <w:r>
        <w:rPr/>
        <w:t xml:space="preserve">a visible fingerprint or version marker for materially relevant operating profile state </w:t>
      </w:r>
    </w:p>
    <w:p>
      <w:pPr>
        <w:pStyle w:val="BodyText"/>
        <w:numPr>
          <w:ilvl w:val="0"/>
          <w:numId w:val="21"/>
        </w:numPr>
        <w:tabs>
          <w:tab w:val="clear" w:pos="1134"/>
          <w:tab w:val="left" w:pos="709" w:leader="none"/>
        </w:tabs>
        <w:bidi w:val="0"/>
        <w:ind w:hanging="283" w:left="709"/>
        <w:jc w:val="left"/>
        <w:rPr/>
      </w:pPr>
      <w:r>
        <w:rPr/>
        <w:t xml:space="preserve">stronger protected attestation material sufficient to bind that profile state to trusted kernel execution </w:t>
      </w:r>
    </w:p>
    <w:p>
      <w:pPr>
        <w:pStyle w:val="BodyText"/>
        <w:bidi w:val="0"/>
        <w:jc w:val="left"/>
        <w:rPr/>
      </w:pPr>
      <w:r>
        <w:rPr/>
        <w:t xml:space="preserve">Acceptable higher-assurance attestation substrates </w:t>
      </w:r>
      <w:r>
        <w:rPr>
          <w:rStyle w:val="SourceText"/>
        </w:rPr>
        <w:t>MAY</w:t>
      </w:r>
      <w:r>
        <w:rPr/>
        <w:t xml:space="preserve"> include hardware-rooted measurements such as </w:t>
      </w:r>
      <w:r>
        <w:rPr>
          <w:rStyle w:val="SourceText"/>
        </w:rPr>
        <w:t>TPM</w:t>
      </w:r>
      <w:r>
        <w:rPr/>
        <w:t xml:space="preserve">, </w:t>
      </w:r>
      <w:r>
        <w:rPr>
          <w:rStyle w:val="SourceText"/>
        </w:rPr>
        <w:t>TDX</w:t>
      </w:r>
      <w:r>
        <w:rPr/>
        <w:t xml:space="preserve">, or </w:t>
      </w:r>
      <w:r>
        <w:rPr>
          <w:rStyle w:val="SourceText"/>
        </w:rPr>
        <w:t>SEV-SNP</w:t>
      </w:r>
      <w:r>
        <w:rPr/>
        <w:t xml:space="preserve">, as well as software evidence stacks such as </w:t>
      </w:r>
      <w:r>
        <w:rPr>
          <w:rStyle w:val="SourceText"/>
        </w:rPr>
        <w:t>DSSE</w:t>
      </w:r>
      <w:r>
        <w:rPr/>
        <w:t xml:space="preserve">, </w:t>
      </w:r>
      <w:r>
        <w:rPr>
          <w:rStyle w:val="SourceText"/>
        </w:rPr>
        <w:t>in-toto</w:t>
      </w:r>
      <w:r>
        <w:rPr/>
        <w:t xml:space="preserve">, </w:t>
      </w:r>
      <w:r>
        <w:rPr>
          <w:rStyle w:val="SourceText"/>
        </w:rPr>
        <w:t>Sigstore</w:t>
      </w:r>
      <w:r>
        <w:rPr/>
        <w:t xml:space="preserve">, or </w:t>
      </w:r>
      <w:r>
        <w:rPr>
          <w:rStyle w:val="SourceText"/>
        </w:rPr>
        <w:t>SCITT</w:t>
      </w:r>
      <w:r>
        <w:rPr/>
        <w:t>-style statement publication, provided they let a verifier bind profile state to the governed runtime instance that actually executed the work.</w:t>
      </w:r>
    </w:p>
    <w:p>
      <w:pPr>
        <w:pStyle w:val="BodyText"/>
        <w:bidi w:val="0"/>
        <w:jc w:val="left"/>
        <w:rPr/>
      </w:pPr>
      <w:r>
        <w:rPr/>
        <w:t>This allows relying parties and auditors to distinguish between:</w:t>
      </w:r>
    </w:p>
    <w:p>
      <w:pPr>
        <w:pStyle w:val="BodyText"/>
        <w:numPr>
          <w:ilvl w:val="0"/>
          <w:numId w:val="22"/>
        </w:numPr>
        <w:tabs>
          <w:tab w:val="clear" w:pos="1134"/>
          <w:tab w:val="left" w:pos="709" w:leader="none"/>
        </w:tabs>
        <w:bidi w:val="0"/>
        <w:spacing w:before="0" w:after="0"/>
        <w:ind w:hanging="283" w:left="709"/>
        <w:jc w:val="left"/>
        <w:rPr/>
      </w:pPr>
      <w:r>
        <w:rPr/>
        <w:t xml:space="preserve">the same enduring agent subject </w:t>
      </w:r>
    </w:p>
    <w:p>
      <w:pPr>
        <w:pStyle w:val="BodyText"/>
        <w:numPr>
          <w:ilvl w:val="0"/>
          <w:numId w:val="22"/>
        </w:numPr>
        <w:tabs>
          <w:tab w:val="clear" w:pos="1134"/>
          <w:tab w:val="left" w:pos="709" w:leader="none"/>
        </w:tabs>
        <w:bidi w:val="0"/>
        <w:ind w:hanging="283" w:left="709"/>
        <w:jc w:val="left"/>
        <w:rPr/>
      </w:pPr>
      <w:r>
        <w:rPr/>
        <w:t xml:space="preserve">the same validated operational subject </w:t>
      </w:r>
    </w:p>
    <w:p>
      <w:pPr>
        <w:pStyle w:val="Heading3"/>
        <w:bidi w:val="0"/>
        <w:jc w:val="left"/>
        <w:rPr/>
      </w:pPr>
      <w:r>
        <w:rPr/>
        <w:t>7.9 Attestation and Projection Profiles</w:t>
      </w:r>
    </w:p>
    <w:p>
      <w:pPr>
        <w:pStyle w:val="BodyText"/>
        <w:bidi w:val="0"/>
        <w:jc w:val="left"/>
        <w:rPr/>
      </w:pPr>
      <w:r>
        <w:rPr/>
        <w:t xml:space="preserve">When </w:t>
      </w:r>
      <w:r>
        <w:rPr>
          <w:rStyle w:val="SourceText"/>
        </w:rPr>
        <w:t>TAK</w:t>
      </w:r>
      <w:r>
        <w:rPr/>
        <w:t xml:space="preserve"> state is projected into external systems, the projection </w:t>
      </w:r>
      <w:r>
        <w:rPr>
          <w:rStyle w:val="SourceText"/>
        </w:rPr>
        <w:t>SHOULD</w:t>
      </w:r>
      <w:r>
        <w:rPr/>
        <w:t xml:space="preserve"> preserve the distinction between:</w:t>
      </w:r>
    </w:p>
    <w:p>
      <w:pPr>
        <w:pStyle w:val="BodyText"/>
        <w:numPr>
          <w:ilvl w:val="0"/>
          <w:numId w:val="23"/>
        </w:numPr>
        <w:tabs>
          <w:tab w:val="clear" w:pos="1134"/>
          <w:tab w:val="left" w:pos="709" w:leader="none"/>
        </w:tabs>
        <w:bidi w:val="0"/>
        <w:spacing w:before="0" w:after="0"/>
        <w:ind w:hanging="283" w:left="709"/>
        <w:jc w:val="left"/>
        <w:rPr/>
      </w:pPr>
      <w:r>
        <w:rPr/>
        <w:t xml:space="preserve">enduring subject identity </w:t>
      </w:r>
    </w:p>
    <w:p>
      <w:pPr>
        <w:pStyle w:val="BodyText"/>
        <w:numPr>
          <w:ilvl w:val="0"/>
          <w:numId w:val="23"/>
        </w:numPr>
        <w:tabs>
          <w:tab w:val="clear" w:pos="1134"/>
          <w:tab w:val="left" w:pos="709" w:leader="none"/>
        </w:tabs>
        <w:bidi w:val="0"/>
        <w:spacing w:before="0" w:after="0"/>
        <w:ind w:hanging="283" w:left="709"/>
        <w:jc w:val="left"/>
        <w:rPr/>
      </w:pPr>
      <w:r>
        <w:rPr/>
        <w:t xml:space="preserve">current approved operating profile </w:t>
      </w:r>
    </w:p>
    <w:p>
      <w:pPr>
        <w:pStyle w:val="BodyText"/>
        <w:numPr>
          <w:ilvl w:val="0"/>
          <w:numId w:val="23"/>
        </w:numPr>
        <w:tabs>
          <w:tab w:val="clear" w:pos="1134"/>
          <w:tab w:val="left" w:pos="709" w:leader="none"/>
        </w:tabs>
        <w:bidi w:val="0"/>
        <w:spacing w:before="0" w:after="0"/>
        <w:ind w:hanging="283" w:left="709"/>
        <w:jc w:val="left"/>
        <w:rPr/>
      </w:pPr>
      <w:r>
        <w:rPr/>
        <w:t xml:space="preserve">current validation status </w:t>
      </w:r>
    </w:p>
    <w:p>
      <w:pPr>
        <w:pStyle w:val="BodyText"/>
        <w:numPr>
          <w:ilvl w:val="0"/>
          <w:numId w:val="23"/>
        </w:numPr>
        <w:tabs>
          <w:tab w:val="clear" w:pos="1134"/>
          <w:tab w:val="left" w:pos="709" w:leader="none"/>
        </w:tabs>
        <w:bidi w:val="0"/>
        <w:ind w:hanging="283" w:left="709"/>
        <w:jc w:val="left"/>
        <w:rPr/>
      </w:pPr>
      <w:r>
        <w:rPr/>
        <w:t xml:space="preserve">stronger attestation material that may not be appropriate to publish broadly </w:t>
      </w:r>
    </w:p>
    <w:p>
      <w:pPr>
        <w:pStyle w:val="BodyText"/>
        <w:bidi w:val="0"/>
        <w:jc w:val="left"/>
        <w:rPr/>
      </w:pPr>
      <w:r>
        <w:rPr/>
        <w:t>For example:</w:t>
      </w:r>
    </w:p>
    <w:p>
      <w:pPr>
        <w:pStyle w:val="BodyText"/>
        <w:numPr>
          <w:ilvl w:val="0"/>
          <w:numId w:val="24"/>
        </w:numPr>
        <w:tabs>
          <w:tab w:val="clear" w:pos="1134"/>
          <w:tab w:val="left" w:pos="709" w:leader="none"/>
        </w:tabs>
        <w:bidi w:val="0"/>
        <w:spacing w:before="0" w:after="0"/>
        <w:ind w:hanging="283" w:left="709"/>
        <w:jc w:val="left"/>
        <w:rPr/>
      </w:pPr>
      <w:r>
        <w:rPr>
          <w:rStyle w:val="SourceText"/>
        </w:rPr>
        <w:t>LDAP</w:t>
      </w:r>
      <w:r>
        <w:rPr/>
        <w:t xml:space="preserve"> projections </w:t>
      </w:r>
      <w:r>
        <w:rPr>
          <w:rStyle w:val="SourceText"/>
        </w:rPr>
        <w:t>MAY</w:t>
      </w:r>
      <w:r>
        <w:rPr/>
        <w:t xml:space="preserve"> publish profile fingerprints, validation state, and verifier references needed for coarse trust decisions </w:t>
      </w:r>
    </w:p>
    <w:p>
      <w:pPr>
        <w:pStyle w:val="BodyText"/>
        <w:numPr>
          <w:ilvl w:val="0"/>
          <w:numId w:val="24"/>
        </w:numPr>
        <w:tabs>
          <w:tab w:val="clear" w:pos="1134"/>
          <w:tab w:val="left" w:pos="709" w:leader="none"/>
        </w:tabs>
        <w:bidi w:val="0"/>
        <w:spacing w:before="0" w:after="0"/>
        <w:ind w:hanging="283" w:left="709"/>
        <w:jc w:val="left"/>
        <w:rPr/>
      </w:pPr>
      <w:r>
        <w:rPr>
          <w:rStyle w:val="SourceText"/>
        </w:rPr>
        <w:t>SCIM</w:t>
      </w:r>
      <w:r>
        <w:rPr/>
        <w:t xml:space="preserve"> projections </w:t>
      </w:r>
      <w:r>
        <w:rPr>
          <w:rStyle w:val="SourceText"/>
        </w:rPr>
        <w:t>MAY</w:t>
      </w:r>
      <w:r>
        <w:rPr/>
        <w:t xml:space="preserve"> carry selected operating-profile and validation metadata for lifecycle automation </w:t>
      </w:r>
    </w:p>
    <w:p>
      <w:pPr>
        <w:pStyle w:val="BodyText"/>
        <w:numPr>
          <w:ilvl w:val="0"/>
          <w:numId w:val="24"/>
        </w:numPr>
        <w:tabs>
          <w:tab w:val="clear" w:pos="1134"/>
          <w:tab w:val="left" w:pos="709" w:leader="none"/>
        </w:tabs>
        <w:bidi w:val="0"/>
        <w:ind w:hanging="283" w:left="709"/>
        <w:jc w:val="left"/>
        <w:rPr/>
      </w:pPr>
      <w:r>
        <w:rPr/>
        <w:t xml:space="preserve">direct API or attestation carriers </w:t>
      </w:r>
      <w:r>
        <w:rPr>
          <w:rStyle w:val="SourceText"/>
        </w:rPr>
        <w:t>SHOULD</w:t>
      </w:r>
      <w:r>
        <w:rPr/>
        <w:t xml:space="preserve"> carry the stronger signed or protected material needed to prove runtime state across trust boundaries </w:t>
      </w:r>
    </w:p>
    <w:p>
      <w:pPr>
        <w:pStyle w:val="BodyText"/>
        <w:bidi w:val="0"/>
        <w:jc w:val="left"/>
        <w:rPr/>
      </w:pPr>
      <w:r>
        <w:rPr/>
        <w:t xml:space="preserve">An implementation </w:t>
      </w:r>
      <w:r>
        <w:rPr>
          <w:rStyle w:val="SourceText"/>
        </w:rPr>
        <w:t>SHOULD</w:t>
      </w:r>
      <w:r>
        <w:rPr/>
        <w:t xml:space="preserve"> document those profile mappings explicitly so external systems know which parts of </w:t>
      </w:r>
      <w:r>
        <w:rPr>
          <w:rStyle w:val="SourceText"/>
        </w:rPr>
        <w:t>TAK</w:t>
      </w:r>
      <w:r>
        <w:rPr/>
        <w:t xml:space="preserve"> they can rely on and which parts remain internal kernel evidence.</w:t>
      </w:r>
    </w:p>
    <w:p>
      <w:pPr>
        <w:pStyle w:val="Heading3"/>
        <w:bidi w:val="0"/>
        <w:jc w:val="left"/>
        <w:rPr/>
      </w:pPr>
      <w:r>
        <w:rPr/>
        <w:t>7.10 Vendor-Neutral Reference Model</w:t>
      </w:r>
    </w:p>
    <w:p>
      <w:pPr>
        <w:pStyle w:val="BodyText"/>
        <w:bidi w:val="0"/>
        <w:jc w:val="left"/>
        <w:rPr/>
      </w:pPr>
      <w:r>
        <w:rPr/>
        <w:t>The following reference model is intentionally independent from any one product platform.</w:t>
      </w:r>
    </w:p>
    <w:p>
      <w:pPr>
        <w:pStyle w:val="BodyText"/>
        <w:bidi w:val="0"/>
        <w:jc w:val="left"/>
        <w:rPr/>
      </w:pPr>
      <w:r>
        <w:rPr/>
        <w:t xml:space="preserve">It shows the stable </w:t>
      </w:r>
      <w:r>
        <w:rPr>
          <w:rStyle w:val="SourceText"/>
        </w:rPr>
        <w:t>TAK</w:t>
      </w:r>
      <w:r>
        <w:rPr/>
        <w:t xml:space="preserve"> control relationship between:</w:t>
      </w:r>
    </w:p>
    <w:p>
      <w:pPr>
        <w:pStyle w:val="BodyText"/>
        <w:numPr>
          <w:ilvl w:val="0"/>
          <w:numId w:val="25"/>
        </w:numPr>
        <w:tabs>
          <w:tab w:val="clear" w:pos="1134"/>
          <w:tab w:val="left" w:pos="709" w:leader="none"/>
        </w:tabs>
        <w:bidi w:val="0"/>
        <w:spacing w:before="0" w:after="0"/>
        <w:ind w:hanging="283" w:left="709"/>
        <w:jc w:val="left"/>
        <w:rPr/>
      </w:pPr>
      <w:r>
        <w:rPr/>
        <w:t xml:space="preserve">human and organizational authority </w:t>
      </w:r>
    </w:p>
    <w:p>
      <w:pPr>
        <w:pStyle w:val="BodyText"/>
        <w:numPr>
          <w:ilvl w:val="0"/>
          <w:numId w:val="25"/>
        </w:numPr>
        <w:tabs>
          <w:tab w:val="clear" w:pos="1134"/>
          <w:tab w:val="left" w:pos="709" w:leader="none"/>
        </w:tabs>
        <w:bidi w:val="0"/>
        <w:spacing w:before="0" w:after="0"/>
        <w:ind w:hanging="283" w:left="709"/>
        <w:jc w:val="left"/>
        <w:rPr/>
      </w:pPr>
      <w:r>
        <w:rPr/>
        <w:t xml:space="preserve">identity and governance context </w:t>
      </w:r>
    </w:p>
    <w:p>
      <w:pPr>
        <w:pStyle w:val="BodyText"/>
        <w:numPr>
          <w:ilvl w:val="0"/>
          <w:numId w:val="25"/>
        </w:numPr>
        <w:tabs>
          <w:tab w:val="clear" w:pos="1134"/>
          <w:tab w:val="left" w:pos="709" w:leader="none"/>
        </w:tabs>
        <w:bidi w:val="0"/>
        <w:spacing w:before="0" w:after="0"/>
        <w:ind w:hanging="283" w:left="709"/>
        <w:jc w:val="left"/>
        <w:rPr/>
      </w:pPr>
      <w:r>
        <w:rPr/>
        <w:t xml:space="preserve">interaction surfaces </w:t>
      </w:r>
    </w:p>
    <w:p>
      <w:pPr>
        <w:pStyle w:val="BodyText"/>
        <w:numPr>
          <w:ilvl w:val="0"/>
          <w:numId w:val="25"/>
        </w:numPr>
        <w:tabs>
          <w:tab w:val="clear" w:pos="1134"/>
          <w:tab w:val="left" w:pos="709" w:leader="none"/>
        </w:tabs>
        <w:bidi w:val="0"/>
        <w:spacing w:before="0" w:after="0"/>
        <w:ind w:hanging="283" w:left="709"/>
        <w:jc w:val="left"/>
        <w:rPr/>
      </w:pPr>
      <w:r>
        <w:rPr/>
        <w:t xml:space="preserve">coordinator and specialist agents </w:t>
      </w:r>
    </w:p>
    <w:p>
      <w:pPr>
        <w:pStyle w:val="BodyText"/>
        <w:numPr>
          <w:ilvl w:val="0"/>
          <w:numId w:val="25"/>
        </w:numPr>
        <w:tabs>
          <w:tab w:val="clear" w:pos="1134"/>
          <w:tab w:val="left" w:pos="709" w:leader="none"/>
        </w:tabs>
        <w:bidi w:val="0"/>
        <w:spacing w:before="0" w:after="0"/>
        <w:ind w:hanging="283" w:left="709"/>
        <w:jc w:val="left"/>
        <w:rPr/>
      </w:pPr>
      <w:r>
        <w:rPr/>
        <w:t xml:space="preserve">the kernel control plane </w:t>
      </w:r>
    </w:p>
    <w:p>
      <w:pPr>
        <w:pStyle w:val="BodyText"/>
        <w:numPr>
          <w:ilvl w:val="0"/>
          <w:numId w:val="25"/>
        </w:numPr>
        <w:tabs>
          <w:tab w:val="clear" w:pos="1134"/>
          <w:tab w:val="left" w:pos="709" w:leader="none"/>
        </w:tabs>
        <w:bidi w:val="0"/>
        <w:ind w:hanging="283" w:left="709"/>
        <w:jc w:val="left"/>
        <w:rPr/>
      </w:pPr>
      <w:r>
        <w:rPr/>
        <w:t xml:space="preserve">tools, protocols, and evidence </w:t>
      </w:r>
    </w:p>
    <w:p>
      <w:pPr>
        <w:pStyle w:val="BodyText"/>
        <w:bidi w:val="0"/>
        <w:jc w:val="left"/>
        <w:rPr/>
      </w:pPr>
      <w:r>
        <w:rPr/>
        <w:drawing>
          <wp:inline distT="0" distB="0" distL="0" distR="0">
            <wp:extent cx="29870400" cy="45567600"/>
            <wp:effectExtent l="0" t="0" r="0" b="0"/>
            <wp:docPr id="4" name="Image4" descr="TAK referen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TAK reference model"/>
                    <pic:cNvPicPr>
                      <a:picLocks noChangeAspect="1" noChangeArrowheads="1"/>
                    </pic:cNvPicPr>
                  </pic:nvPicPr>
                  <pic:blipFill>
                    <a:blip r:embed="rId51"/>
                    <a:stretch>
                      <a:fillRect/>
                    </a:stretch>
                  </pic:blipFill>
                  <pic:spPr bwMode="auto">
                    <a:xfrm>
                      <a:off x="0" y="0"/>
                      <a:ext cx="29870400" cy="45567600"/>
                    </a:xfrm>
                    <a:prstGeom prst="rect">
                      <a:avLst/>
                    </a:prstGeom>
                    <a:noFill/>
                  </pic:spPr>
                </pic:pic>
              </a:graphicData>
            </a:graphic>
          </wp:inline>
        </w:drawing>
      </w:r>
    </w:p>
    <w:p>
      <w:pPr>
        <w:pStyle w:val="BodyText"/>
        <w:bidi w:val="0"/>
        <w:jc w:val="left"/>
        <w:rPr/>
      </w:pPr>
      <w:r>
        <w:rPr>
          <w:rStyle w:val="Emphasis"/>
        </w:rPr>
        <w:t xml:space="preserve">Figure 2. </w:t>
      </w:r>
      <w:r>
        <w:rPr>
          <w:rStyle w:val="SourceText"/>
        </w:rPr>
        <w:t>TAK</w:t>
      </w:r>
      <w:r>
        <w:rPr>
          <w:rStyle w:val="Emphasis"/>
        </w:rPr>
        <w:t xml:space="preserve"> defines a vendor-neutral harness control plane that sits between authority, agents, tools, and evidence.</w:t>
      </w:r>
    </w:p>
    <w:p>
      <w:pPr>
        <w:pStyle w:val="Heading3"/>
        <w:bidi w:val="0"/>
        <w:jc w:val="left"/>
        <w:rPr/>
      </w:pPr>
      <w:r>
        <w:rPr/>
        <w:t>7.11 Qualification-Aware Runtime Enforcement</w:t>
      </w:r>
    </w:p>
    <w:p>
      <w:pPr>
        <w:pStyle w:val="BodyText"/>
        <w:bidi w:val="0"/>
        <w:jc w:val="left"/>
        <w:rPr/>
      </w:pPr>
      <w:r>
        <w:rPr/>
        <w:t xml:space="preserve">For job-scoped autonomous work, a conforming runtime </w:t>
      </w:r>
      <w:r>
        <w:rPr>
          <w:rStyle w:val="SourceText"/>
        </w:rPr>
        <w:t>MUST</w:t>
      </w:r>
      <w:r>
        <w:rPr/>
        <w:t xml:space="preserve"> distinguish:</w:t>
      </w:r>
    </w:p>
    <w:p>
      <w:pPr>
        <w:pStyle w:val="BodyText"/>
        <w:numPr>
          <w:ilvl w:val="0"/>
          <w:numId w:val="26"/>
        </w:numPr>
        <w:tabs>
          <w:tab w:val="clear" w:pos="1134"/>
          <w:tab w:val="left" w:pos="709" w:leader="none"/>
        </w:tabs>
        <w:bidi w:val="0"/>
        <w:spacing w:before="0" w:after="0"/>
        <w:ind w:hanging="283" w:left="709"/>
        <w:jc w:val="left"/>
        <w:rPr/>
      </w:pPr>
      <w:r>
        <w:rPr/>
        <w:t xml:space="preserve">declared capability </w:t>
      </w:r>
    </w:p>
    <w:p>
      <w:pPr>
        <w:pStyle w:val="BodyText"/>
        <w:numPr>
          <w:ilvl w:val="0"/>
          <w:numId w:val="26"/>
        </w:numPr>
        <w:tabs>
          <w:tab w:val="clear" w:pos="1134"/>
          <w:tab w:val="left" w:pos="709" w:leader="none"/>
        </w:tabs>
        <w:bidi w:val="0"/>
        <w:spacing w:before="0" w:after="0"/>
        <w:ind w:hanging="283" w:left="709"/>
        <w:jc w:val="left"/>
        <w:rPr/>
      </w:pPr>
      <w:r>
        <w:rPr/>
        <w:t xml:space="preserve">tested capability </w:t>
      </w:r>
    </w:p>
    <w:p>
      <w:pPr>
        <w:pStyle w:val="BodyText"/>
        <w:numPr>
          <w:ilvl w:val="0"/>
          <w:numId w:val="26"/>
        </w:numPr>
        <w:tabs>
          <w:tab w:val="clear" w:pos="1134"/>
          <w:tab w:val="left" w:pos="709" w:leader="none"/>
        </w:tabs>
        <w:bidi w:val="0"/>
        <w:spacing w:before="0" w:after="0"/>
        <w:ind w:hanging="283" w:left="709"/>
        <w:jc w:val="left"/>
        <w:rPr/>
      </w:pPr>
      <w:r>
        <w:rPr/>
        <w:t xml:space="preserve">job qualification </w:t>
      </w:r>
    </w:p>
    <w:p>
      <w:pPr>
        <w:pStyle w:val="BodyText"/>
        <w:numPr>
          <w:ilvl w:val="0"/>
          <w:numId w:val="26"/>
        </w:numPr>
        <w:tabs>
          <w:tab w:val="clear" w:pos="1134"/>
          <w:tab w:val="left" w:pos="709" w:leader="none"/>
        </w:tabs>
        <w:bidi w:val="0"/>
        <w:spacing w:before="0" w:after="0"/>
        <w:ind w:hanging="283" w:left="709"/>
        <w:jc w:val="left"/>
        <w:rPr/>
      </w:pPr>
      <w:r>
        <w:rPr/>
        <w:t xml:space="preserve">present authorization </w:t>
      </w:r>
    </w:p>
    <w:p>
      <w:pPr>
        <w:pStyle w:val="BodyText"/>
        <w:numPr>
          <w:ilvl w:val="0"/>
          <w:numId w:val="26"/>
        </w:numPr>
        <w:tabs>
          <w:tab w:val="clear" w:pos="1134"/>
          <w:tab w:val="left" w:pos="709" w:leader="none"/>
        </w:tabs>
        <w:bidi w:val="0"/>
        <w:ind w:hanging="283" w:left="709"/>
        <w:jc w:val="left"/>
        <w:rPr/>
      </w:pPr>
      <w:r>
        <w:rPr/>
        <w:t xml:space="preserve">evidence-earned autonomy </w:t>
      </w:r>
    </w:p>
    <w:p>
      <w:pPr>
        <w:pStyle w:val="BodyText"/>
        <w:bidi w:val="0"/>
        <w:jc w:val="left"/>
        <w:rPr/>
      </w:pPr>
      <w:r>
        <w:rPr/>
        <w:t>None is interchangeable with another.</w:t>
      </w:r>
    </w:p>
    <w:p>
      <w:pPr>
        <w:pStyle w:val="BodyText"/>
        <w:bidi w:val="0"/>
        <w:jc w:val="left"/>
        <w:rPr/>
      </w:pPr>
      <w:r>
        <w:rPr/>
        <w:t xml:space="preserve">A </w:t>
      </w:r>
      <w:r>
        <w:rPr>
          <w:rStyle w:val="SourceText"/>
        </w:rPr>
        <w:t>GAID</w:t>
      </w:r>
      <w:r>
        <w:rPr/>
        <w:t xml:space="preserve"> capability or qualification badge </w:t>
      </w:r>
      <w:r>
        <w:rPr>
          <w:rStyle w:val="SourceText"/>
        </w:rPr>
        <w:t>MUST NOT</w:t>
      </w:r>
      <w:r>
        <w:rPr/>
        <w:t xml:space="preserve"> be treated as live authorization. A </w:t>
      </w:r>
      <w:r>
        <w:rPr>
          <w:rStyle w:val="SourceText"/>
        </w:rPr>
        <w:t>TAK-JSI</w:t>
      </w:r>
      <w:r>
        <w:rPr/>
        <w:t xml:space="preserve"> qualification </w:t>
      </w:r>
      <w:r>
        <w:rPr>
          <w:rStyle w:val="SourceText"/>
        </w:rPr>
        <w:t>MUST NOT</w:t>
      </w:r>
      <w:r>
        <w:rPr/>
        <w:t xml:space="preserve"> be treated as permission to perform every qualified action. At execution time, the runtime </w:t>
      </w:r>
      <w:r>
        <w:rPr>
          <w:rStyle w:val="SourceText"/>
        </w:rPr>
        <w:t>MUST</w:t>
      </w:r>
      <w:r>
        <w:rPr/>
        <w:t xml:space="preserve"> compute the effective action posture from the intersection of:</w:t>
      </w:r>
    </w:p>
    <w:p>
      <w:pPr>
        <w:pStyle w:val="PreformattedText"/>
        <w:bidi w:val="0"/>
        <w:jc w:val="left"/>
        <w:rPr/>
      </w:pPr>
      <w:r>
        <w:rPr>
          <w:rStyle w:val="SourceText"/>
        </w:rPr>
        <w:t>principal authority</w:t>
      </w:r>
    </w:p>
    <w:p>
      <w:pPr>
        <w:pStyle w:val="PreformattedText"/>
        <w:bidi w:val="0"/>
        <w:jc w:val="left"/>
        <w:rPr/>
      </w:pPr>
      <w:r>
        <w:rPr>
          <w:rStyle w:val="SourceText"/>
        </w:rPr>
        <w:t xml:space="preserve">∩ </w:t>
      </w:r>
      <w:r>
        <w:rPr>
          <w:rStyle w:val="SourceText"/>
        </w:rPr>
        <w:t>agent grants</w:t>
      </w:r>
    </w:p>
    <w:p>
      <w:pPr>
        <w:pStyle w:val="PreformattedText"/>
        <w:bidi w:val="0"/>
        <w:jc w:val="left"/>
        <w:rPr/>
      </w:pPr>
      <w:r>
        <w:rPr>
          <w:rStyle w:val="SourceText"/>
        </w:rPr>
        <w:t xml:space="preserve">∩ </w:t>
      </w:r>
      <w:r>
        <w:rPr>
          <w:rStyle w:val="SourceText"/>
        </w:rPr>
        <w:t>route or workflow policy</w:t>
      </w:r>
    </w:p>
    <w:p>
      <w:pPr>
        <w:pStyle w:val="PreformattedText"/>
        <w:bidi w:val="0"/>
        <w:jc w:val="left"/>
        <w:rPr/>
      </w:pPr>
      <w:r>
        <w:rPr>
          <w:rStyle w:val="SourceText"/>
        </w:rPr>
        <w:t xml:space="preserve">∩ </w:t>
      </w:r>
      <w:r>
        <w:rPr>
          <w:rStyle w:val="SourceText"/>
        </w:rPr>
        <w:t>active job-qualification scope</w:t>
      </w:r>
    </w:p>
    <w:p>
      <w:pPr>
        <w:pStyle w:val="PreformattedText"/>
        <w:bidi w:val="0"/>
        <w:jc w:val="left"/>
        <w:rPr/>
      </w:pPr>
      <w:r>
        <w:rPr>
          <w:rStyle w:val="SourceText"/>
        </w:rPr>
        <w:t xml:space="preserve">∩ </w:t>
      </w:r>
      <w:r>
        <w:rPr>
          <w:rStyle w:val="SourceText"/>
        </w:rPr>
        <w:t>data, residency, and permitted-use constraints</w:t>
      </w:r>
    </w:p>
    <w:p>
      <w:pPr>
        <w:pStyle w:val="PreformattedText"/>
        <w:bidi w:val="0"/>
        <w:jc w:val="left"/>
        <w:rPr/>
      </w:pPr>
      <w:r>
        <w:rPr>
          <w:rStyle w:val="SourceText"/>
        </w:rPr>
        <w:t xml:space="preserve">∩ </w:t>
      </w:r>
      <w:r>
        <w:rPr>
          <w:rStyle w:val="SourceText"/>
        </w:rPr>
        <w:t>regulatory and contractual ceilings</w:t>
      </w:r>
    </w:p>
    <w:p>
      <w:pPr>
        <w:pStyle w:val="PreformattedText"/>
        <w:bidi w:val="0"/>
        <w:spacing w:before="0" w:after="283"/>
        <w:jc w:val="left"/>
        <w:rPr/>
      </w:pPr>
      <w:r>
        <w:rPr>
          <w:rStyle w:val="SourceText"/>
        </w:rPr>
        <w:t xml:space="preserve">∩ </w:t>
      </w:r>
      <w:r>
        <w:rPr>
          <w:rStyle w:val="SourceText"/>
        </w:rPr>
        <w:t>evidence-earned autonomy for (agent × activity × risk)</w:t>
      </w:r>
    </w:p>
    <w:p>
      <w:pPr>
        <w:pStyle w:val="BodyText"/>
        <w:bidi w:val="0"/>
        <w:jc w:val="left"/>
        <w:rPr/>
      </w:pPr>
      <w:r>
        <w:rPr/>
        <w:t xml:space="preserve">If the applicable qualification is absent, expired, suspended, revoked, outside scope, or pending revalidation, the runtime </w:t>
      </w:r>
      <w:r>
        <w:rPr>
          <w:rStyle w:val="SourceText"/>
        </w:rPr>
        <w:t>MUST</w:t>
      </w:r>
      <w:r>
        <w:rPr/>
        <w:t xml:space="preserve"> fail closed, narrow the action, reduce the oversight tier, or escalate according to policy.</w:t>
      </w:r>
    </w:p>
    <w:p>
      <w:pPr>
        <w:pStyle w:val="BodyText"/>
        <w:bidi w:val="0"/>
        <w:jc w:val="left"/>
        <w:rPr/>
      </w:pPr>
      <w:r>
        <w:rPr/>
        <w:t xml:space="preserve">The runtime </w:t>
      </w:r>
      <w:r>
        <w:rPr>
          <w:rStyle w:val="SourceText"/>
        </w:rPr>
        <w:t>MUST NOT</w:t>
      </w:r>
      <w:r>
        <w:rPr/>
        <w:t xml:space="preserve"> infer job qualification solely from:</w:t>
      </w:r>
    </w:p>
    <w:p>
      <w:pPr>
        <w:pStyle w:val="BodyText"/>
        <w:numPr>
          <w:ilvl w:val="0"/>
          <w:numId w:val="27"/>
        </w:numPr>
        <w:tabs>
          <w:tab w:val="clear" w:pos="1134"/>
          <w:tab w:val="left" w:pos="709" w:leader="none"/>
        </w:tabs>
        <w:bidi w:val="0"/>
        <w:spacing w:before="0" w:after="0"/>
        <w:ind w:hanging="283" w:left="709"/>
        <w:jc w:val="left"/>
        <w:rPr/>
      </w:pPr>
      <w:r>
        <w:rPr/>
        <w:t xml:space="preserve">a model or provider name </w:t>
      </w:r>
    </w:p>
    <w:p>
      <w:pPr>
        <w:pStyle w:val="BodyText"/>
        <w:numPr>
          <w:ilvl w:val="0"/>
          <w:numId w:val="27"/>
        </w:numPr>
        <w:tabs>
          <w:tab w:val="clear" w:pos="1134"/>
          <w:tab w:val="left" w:pos="709" w:leader="none"/>
        </w:tabs>
        <w:bidi w:val="0"/>
        <w:spacing w:before="0" w:after="0"/>
        <w:ind w:hanging="283" w:left="709"/>
        <w:jc w:val="left"/>
        <w:rPr/>
      </w:pPr>
      <w:r>
        <w:rPr/>
        <w:t xml:space="preserve">a model card or system card </w:t>
      </w:r>
    </w:p>
    <w:p>
      <w:pPr>
        <w:pStyle w:val="BodyText"/>
        <w:numPr>
          <w:ilvl w:val="0"/>
          <w:numId w:val="27"/>
        </w:numPr>
        <w:tabs>
          <w:tab w:val="clear" w:pos="1134"/>
          <w:tab w:val="left" w:pos="709" w:leader="none"/>
        </w:tabs>
        <w:bidi w:val="0"/>
        <w:spacing w:before="0" w:after="0"/>
        <w:ind w:hanging="283" w:left="709"/>
        <w:jc w:val="left"/>
        <w:rPr/>
      </w:pPr>
      <w:r>
        <w:rPr/>
        <w:t xml:space="preserve">a generic benchmark </w:t>
      </w:r>
    </w:p>
    <w:p>
      <w:pPr>
        <w:pStyle w:val="BodyText"/>
        <w:numPr>
          <w:ilvl w:val="0"/>
          <w:numId w:val="27"/>
        </w:numPr>
        <w:tabs>
          <w:tab w:val="clear" w:pos="1134"/>
          <w:tab w:val="left" w:pos="709" w:leader="none"/>
        </w:tabs>
        <w:bidi w:val="0"/>
        <w:spacing w:before="0" w:after="0"/>
        <w:ind w:hanging="283" w:left="709"/>
        <w:jc w:val="left"/>
        <w:rPr/>
      </w:pPr>
      <w:r>
        <w:rPr/>
        <w:t xml:space="preserve">a successful demonstration in another job </w:t>
      </w:r>
    </w:p>
    <w:p>
      <w:pPr>
        <w:pStyle w:val="BodyText"/>
        <w:numPr>
          <w:ilvl w:val="0"/>
          <w:numId w:val="27"/>
        </w:numPr>
        <w:tabs>
          <w:tab w:val="clear" w:pos="1134"/>
          <w:tab w:val="left" w:pos="709" w:leader="none"/>
        </w:tabs>
        <w:bidi w:val="0"/>
        <w:spacing w:before="0" w:after="0"/>
        <w:ind w:hanging="283" w:left="709"/>
        <w:jc w:val="left"/>
        <w:rPr/>
      </w:pPr>
      <w:r>
        <w:rPr/>
        <w:t xml:space="preserve">a high proactivity setting </w:t>
      </w:r>
    </w:p>
    <w:p>
      <w:pPr>
        <w:pStyle w:val="BodyText"/>
        <w:numPr>
          <w:ilvl w:val="0"/>
          <w:numId w:val="27"/>
        </w:numPr>
        <w:tabs>
          <w:tab w:val="clear" w:pos="1134"/>
          <w:tab w:val="left" w:pos="709" w:leader="none"/>
        </w:tabs>
        <w:bidi w:val="0"/>
        <w:ind w:hanging="283" w:left="709"/>
        <w:jc w:val="left"/>
        <w:rPr/>
      </w:pPr>
      <w:r>
        <w:rPr/>
        <w:t xml:space="preserve">a high-cost or high-quality execution posture </w:t>
      </w:r>
    </w:p>
    <w:p>
      <w:pPr>
        <w:pStyle w:val="Heading3"/>
        <w:bidi w:val="0"/>
        <w:jc w:val="left"/>
        <w:rPr/>
      </w:pPr>
      <w:r>
        <w:rPr/>
        <w:t>7.12 Proactivity, Earned Autonomy, and Assurance Posture</w:t>
      </w:r>
    </w:p>
    <w:p>
      <w:pPr>
        <w:pStyle w:val="BodyText"/>
        <w:bidi w:val="0"/>
        <w:jc w:val="left"/>
        <w:rPr/>
      </w:pPr>
      <w:r>
        <w:rPr/>
        <w:t>Proactivity, autonomy, and execution assurance are separate control axes:</w:t>
      </w:r>
    </w:p>
    <w:p>
      <w:pPr>
        <w:pStyle w:val="BodyText"/>
        <w:numPr>
          <w:ilvl w:val="0"/>
          <w:numId w:val="28"/>
        </w:numPr>
        <w:tabs>
          <w:tab w:val="clear" w:pos="1134"/>
          <w:tab w:val="left" w:pos="709" w:leader="none"/>
        </w:tabs>
        <w:bidi w:val="0"/>
        <w:spacing w:before="0" w:after="0"/>
        <w:ind w:hanging="283" w:left="709"/>
        <w:jc w:val="left"/>
        <w:rPr/>
      </w:pPr>
      <w:r>
        <w:rPr>
          <w:rStyle w:val="Strong"/>
        </w:rPr>
        <w:t>proactivity</w:t>
      </w:r>
      <w:r>
        <w:rPr/>
        <w:t xml:space="preserve"> states how readily the agent should initiate, suggest, or continue work </w:t>
      </w:r>
    </w:p>
    <w:p>
      <w:pPr>
        <w:pStyle w:val="BodyText"/>
        <w:numPr>
          <w:ilvl w:val="0"/>
          <w:numId w:val="28"/>
        </w:numPr>
        <w:tabs>
          <w:tab w:val="clear" w:pos="1134"/>
          <w:tab w:val="left" w:pos="709" w:leader="none"/>
        </w:tabs>
        <w:bidi w:val="0"/>
        <w:spacing w:before="0" w:after="0"/>
        <w:ind w:hanging="283" w:left="709"/>
        <w:jc w:val="left"/>
        <w:rPr/>
      </w:pPr>
      <w:r>
        <w:rPr>
          <w:rStyle w:val="Strong"/>
        </w:rPr>
        <w:t>earned autonomy</w:t>
      </w:r>
      <w:r>
        <w:rPr/>
        <w:t xml:space="preserve"> states how much of a scoped activity the runtime may permit without a pre-action human decision </w:t>
      </w:r>
    </w:p>
    <w:p>
      <w:pPr>
        <w:pStyle w:val="BodyText"/>
        <w:numPr>
          <w:ilvl w:val="0"/>
          <w:numId w:val="28"/>
        </w:numPr>
        <w:tabs>
          <w:tab w:val="clear" w:pos="1134"/>
          <w:tab w:val="left" w:pos="709" w:leader="none"/>
        </w:tabs>
        <w:bidi w:val="0"/>
        <w:ind w:hanging="283" w:left="709"/>
        <w:jc w:val="left"/>
        <w:rPr/>
      </w:pPr>
      <w:r>
        <w:rPr>
          <w:rStyle w:val="Strong"/>
        </w:rPr>
        <w:t>assurance posture</w:t>
      </w:r>
      <w:r>
        <w:rPr/>
        <w:t xml:space="preserve"> states how much model, reasoning, review, verification, and retry resource the runtime should allocate </w:t>
      </w:r>
    </w:p>
    <w:p>
      <w:pPr>
        <w:pStyle w:val="BodyText"/>
        <w:bidi w:val="0"/>
        <w:jc w:val="left"/>
        <w:rPr/>
      </w:pPr>
      <w:r>
        <w:rPr/>
        <w:t>A conforming implementation:</w:t>
      </w:r>
    </w:p>
    <w:p>
      <w:pPr>
        <w:pStyle w:val="BodyText"/>
        <w:numPr>
          <w:ilvl w:val="0"/>
          <w:numId w:val="29"/>
        </w:numPr>
        <w:tabs>
          <w:tab w:val="clear" w:pos="1134"/>
          <w:tab w:val="left" w:pos="709" w:leader="none"/>
        </w:tabs>
        <w:bidi w:val="0"/>
        <w:spacing w:before="0" w:after="0"/>
        <w:ind w:hanging="283" w:left="709"/>
        <w:jc w:val="left"/>
        <w:rPr/>
      </w:pPr>
      <w:r>
        <w:rPr>
          <w:rStyle w:val="SourceText"/>
        </w:rPr>
        <w:t>MUST</w:t>
      </w:r>
      <w:r>
        <w:rPr/>
        <w:t xml:space="preserve"> enforce hard authority, qualification, data, and regulatory ceilings before applying any proactivity preference </w:t>
      </w:r>
    </w:p>
    <w:p>
      <w:pPr>
        <w:pStyle w:val="BodyText"/>
        <w:numPr>
          <w:ilvl w:val="0"/>
          <w:numId w:val="29"/>
        </w:numPr>
        <w:tabs>
          <w:tab w:val="clear" w:pos="1134"/>
          <w:tab w:val="left" w:pos="709" w:leader="none"/>
        </w:tabs>
        <w:bidi w:val="0"/>
        <w:spacing w:before="0" w:after="0"/>
        <w:ind w:hanging="283" w:left="709"/>
        <w:jc w:val="left"/>
        <w:rPr/>
      </w:pPr>
      <w:r>
        <w:rPr>
          <w:rStyle w:val="SourceText"/>
        </w:rPr>
        <w:t>MUST</w:t>
      </w:r>
      <w:r>
        <w:rPr/>
        <w:t xml:space="preserve"> scope autonomy evidence to an agent, activity, and risk class </w:t>
      </w:r>
    </w:p>
    <w:p>
      <w:pPr>
        <w:pStyle w:val="BodyText"/>
        <w:numPr>
          <w:ilvl w:val="0"/>
          <w:numId w:val="29"/>
        </w:numPr>
        <w:tabs>
          <w:tab w:val="clear" w:pos="1134"/>
          <w:tab w:val="left" w:pos="709" w:leader="none"/>
        </w:tabs>
        <w:bidi w:val="0"/>
        <w:spacing w:before="0" w:after="0"/>
        <w:ind w:hanging="283" w:left="709"/>
        <w:jc w:val="left"/>
        <w:rPr/>
      </w:pPr>
      <w:r>
        <w:rPr>
          <w:rStyle w:val="SourceText"/>
        </w:rPr>
        <w:t>MUST</w:t>
      </w:r>
      <w:r>
        <w:rPr/>
        <w:t xml:space="preserve"> support autonomy regression when evidence, qualification status, or operating conditions deteriorate </w:t>
      </w:r>
    </w:p>
    <w:p>
      <w:pPr>
        <w:pStyle w:val="BodyText"/>
        <w:numPr>
          <w:ilvl w:val="0"/>
          <w:numId w:val="29"/>
        </w:numPr>
        <w:tabs>
          <w:tab w:val="clear" w:pos="1134"/>
          <w:tab w:val="left" w:pos="709" w:leader="none"/>
        </w:tabs>
        <w:bidi w:val="0"/>
        <w:spacing w:before="0" w:after="0"/>
        <w:ind w:hanging="283" w:left="709"/>
        <w:jc w:val="left"/>
        <w:rPr/>
      </w:pPr>
      <w:r>
        <w:rPr>
          <w:rStyle w:val="SourceText"/>
        </w:rPr>
        <w:t>MUST NOT</w:t>
      </w:r>
      <w:r>
        <w:rPr/>
        <w:t xml:space="preserve"> allow a resourcing control such as the Golden Triangle to reduce a mandatory safety, data, qualification, or human-oversight floor </w:t>
      </w:r>
    </w:p>
    <w:p>
      <w:pPr>
        <w:pStyle w:val="BodyText"/>
        <w:numPr>
          <w:ilvl w:val="0"/>
          <w:numId w:val="29"/>
        </w:numPr>
        <w:tabs>
          <w:tab w:val="clear" w:pos="1134"/>
          <w:tab w:val="left" w:pos="709" w:leader="none"/>
        </w:tabs>
        <w:bidi w:val="0"/>
        <w:spacing w:before="0" w:after="0"/>
        <w:ind w:hanging="283" w:left="709"/>
        <w:jc w:val="left"/>
        <w:rPr/>
      </w:pPr>
      <w:r>
        <w:rPr>
          <w:rStyle w:val="SourceText"/>
        </w:rPr>
        <w:t>SHOULD</w:t>
      </w:r>
      <w:r>
        <w:rPr/>
        <w:t xml:space="preserve"> expose the reason when requested proactivity or autonomy is clamped </w:t>
      </w:r>
    </w:p>
    <w:p>
      <w:pPr>
        <w:pStyle w:val="BodyText"/>
        <w:numPr>
          <w:ilvl w:val="0"/>
          <w:numId w:val="29"/>
        </w:numPr>
        <w:tabs>
          <w:tab w:val="clear" w:pos="1134"/>
          <w:tab w:val="left" w:pos="709" w:leader="none"/>
        </w:tabs>
        <w:bidi w:val="0"/>
        <w:ind w:hanging="283" w:left="709"/>
        <w:jc w:val="left"/>
        <w:rPr/>
      </w:pPr>
      <w:r>
        <w:rPr>
          <w:rStyle w:val="SourceText"/>
        </w:rPr>
        <w:t>SHOULD</w:t>
      </w:r>
      <w:r>
        <w:rPr/>
        <w:t xml:space="preserve"> preserve evidence showing why an autonomy increase or regression occurred </w:t>
      </w:r>
    </w:p>
    <w:p>
      <w:pPr>
        <w:pStyle w:val="BodyText"/>
        <w:bidi w:val="0"/>
        <w:jc w:val="left"/>
        <w:rPr/>
      </w:pPr>
      <w:r>
        <w:rPr/>
        <w:t xml:space="preserve">An implementation </w:t>
      </w:r>
      <w:r>
        <w:rPr>
          <w:rStyle w:val="SourceText"/>
        </w:rPr>
        <w:t>MAY</w:t>
      </w:r>
      <w:r>
        <w:rPr/>
        <w:t xml:space="preserve"> use progressive stages such as shadow, propose, bounded execution with review, and bounded autonomous execution. The exact labels are implementation-specific; reversible, evidence-based progression and enforcement are normative.</w:t>
      </w:r>
    </w:p>
    <w:p>
      <w:pPr>
        <w:pStyle w:val="Heading4"/>
        <w:bidi w:val="0"/>
        <w:jc w:val="left"/>
        <w:rPr/>
      </w:pPr>
      <w:r>
        <w:rPr/>
        <w:t>7.12.1 Autonomy Is Bounded by Gate Coverage</w:t>
      </w:r>
    </w:p>
    <w:p>
      <w:pPr>
        <w:pStyle w:val="BodyText"/>
        <w:bidi w:val="0"/>
        <w:jc w:val="left"/>
        <w:rPr/>
      </w:pPr>
      <w:r>
        <w:rPr/>
        <w:t>An autonomy level is a statement about which controls stop applying. Progressive stages typically work by removing constraints in order: at the most supervised level the runtime withholds side-effecting tools entirely; at an intermediate level it diverts them to human proposal; at the most autonomous level it executes them directly. At that final level the per-action human control is gone by design, and the action gating of §8 is the only remaining control.</w:t>
      </w:r>
    </w:p>
    <w:p>
      <w:pPr>
        <w:pStyle w:val="BodyText"/>
        <w:bidi w:val="0"/>
        <w:jc w:val="left"/>
        <w:rPr/>
      </w:pPr>
      <w:r>
        <w:rPr/>
        <w:t>It follows that autonomy cannot safely exceed gate coverage. A conforming implementation:</w:t>
      </w:r>
    </w:p>
    <w:p>
      <w:pPr>
        <w:pStyle w:val="BodyText"/>
        <w:numPr>
          <w:ilvl w:val="0"/>
          <w:numId w:val="30"/>
        </w:numPr>
        <w:tabs>
          <w:tab w:val="clear" w:pos="1134"/>
          <w:tab w:val="left" w:pos="709" w:leader="none"/>
        </w:tabs>
        <w:bidi w:val="0"/>
        <w:spacing w:before="0" w:after="0"/>
        <w:ind w:hanging="283" w:left="709"/>
        <w:jc w:val="left"/>
        <w:rPr/>
      </w:pPr>
      <w:r>
        <w:rPr>
          <w:rStyle w:val="SourceText"/>
        </w:rPr>
        <w:t>MUST NOT</w:t>
      </w:r>
      <w:r>
        <w:rPr/>
        <w:t xml:space="preserve"> grant an agent an autonomy level at which side-effecting tools execute directly unless the consequential tools reachable by that agent's authority are classified and gated under §8.1 and §8.4 </w:t>
      </w:r>
    </w:p>
    <w:p>
      <w:pPr>
        <w:pStyle w:val="BodyText"/>
        <w:numPr>
          <w:ilvl w:val="0"/>
          <w:numId w:val="30"/>
        </w:numPr>
        <w:tabs>
          <w:tab w:val="clear" w:pos="1134"/>
          <w:tab w:val="left" w:pos="709" w:leader="none"/>
        </w:tabs>
        <w:bidi w:val="0"/>
        <w:spacing w:before="0" w:after="0"/>
        <w:ind w:hanging="283" w:left="709"/>
        <w:jc w:val="left"/>
        <w:rPr/>
      </w:pPr>
      <w:r>
        <w:rPr>
          <w:rStyle w:val="SourceText"/>
        </w:rPr>
        <w:t>MUST</w:t>
      </w:r>
      <w:r>
        <w:rPr/>
        <w:t xml:space="preserve"> evaluate that condition against the tools the agent can actually reach, not the platform tool surface as a whole </w:t>
      </w:r>
    </w:p>
    <w:p>
      <w:pPr>
        <w:pStyle w:val="BodyText"/>
        <w:numPr>
          <w:ilvl w:val="0"/>
          <w:numId w:val="30"/>
        </w:numPr>
        <w:tabs>
          <w:tab w:val="clear" w:pos="1134"/>
          <w:tab w:val="left" w:pos="709" w:leader="none"/>
        </w:tabs>
        <w:bidi w:val="0"/>
        <w:spacing w:before="0" w:after="0"/>
        <w:ind w:hanging="283" w:left="709"/>
        <w:jc w:val="left"/>
        <w:rPr/>
      </w:pPr>
      <w:r>
        <w:rPr>
          <w:rStyle w:val="SourceText"/>
        </w:rPr>
        <w:t>SHOULD</w:t>
      </w:r>
      <w:r>
        <w:rPr/>
        <w:t xml:space="preserve"> state the coverage bound as the reason when a requested autonomy level is clamped </w:t>
      </w:r>
    </w:p>
    <w:p>
      <w:pPr>
        <w:pStyle w:val="BodyText"/>
        <w:numPr>
          <w:ilvl w:val="0"/>
          <w:numId w:val="30"/>
        </w:numPr>
        <w:tabs>
          <w:tab w:val="clear" w:pos="1134"/>
          <w:tab w:val="left" w:pos="709" w:leader="none"/>
        </w:tabs>
        <w:bidi w:val="0"/>
        <w:ind w:hanging="283" w:left="709"/>
        <w:jc w:val="left"/>
        <w:rPr/>
      </w:pPr>
      <w:r>
        <w:rPr>
          <w:rStyle w:val="SourceText"/>
        </w:rPr>
        <w:t>SHOULD</w:t>
      </w:r>
      <w:r>
        <w:rPr/>
        <w:t xml:space="preserve"> re-evaluate the bound when an agent's authority widens, since a grant change can enlarge the reachable consequential surface without any autonomy change </w:t>
      </w:r>
    </w:p>
    <w:p>
      <w:pPr>
        <w:pStyle w:val="BodyText"/>
        <w:bidi w:val="0"/>
        <w:jc w:val="left"/>
        <w:rPr/>
      </w:pPr>
      <w:r>
        <w:rPr/>
        <w:t>This is the operational form of the §7.12 rule that hard ceilings apply before proactivity preferences. Raising a proactivity or autonomy setting does not create the risk; it converts an existing coverage gap from latent to live.</w:t>
      </w:r>
    </w:p>
    <w:p>
      <w:pPr>
        <w:pStyle w:val="Heading4"/>
        <w:bidi w:val="0"/>
        <w:jc w:val="left"/>
        <w:rPr/>
      </w:pPr>
      <w:r>
        <w:rPr/>
        <w:t>7.12.2 Admission Criteria for Autonomous Operation</w:t>
      </w:r>
    </w:p>
    <w:p>
      <w:pPr>
        <w:pStyle w:val="BodyText"/>
        <w:bidi w:val="0"/>
        <w:jc w:val="left"/>
        <w:rPr/>
      </w:pPr>
      <w:r>
        <w:rPr/>
        <w:t xml:space="preserve">Before an agent operates at a level where side-effecting tools execute without per-action human decision, a conforming implementation </w:t>
      </w:r>
      <w:r>
        <w:rPr>
          <w:rStyle w:val="SourceText"/>
        </w:rPr>
        <w:t>MUST</w:t>
      </w:r>
      <w:r>
        <w:rPr/>
        <w:t xml:space="preserve"> establish that the agent:</w:t>
      </w:r>
    </w:p>
    <w:p>
      <w:pPr>
        <w:pStyle w:val="BodyText"/>
        <w:numPr>
          <w:ilvl w:val="0"/>
          <w:numId w:val="31"/>
        </w:numPr>
        <w:tabs>
          <w:tab w:val="clear" w:pos="1134"/>
          <w:tab w:val="left" w:pos="709" w:leader="none"/>
        </w:tabs>
        <w:bidi w:val="0"/>
        <w:spacing w:before="0" w:after="0"/>
        <w:ind w:hanging="283" w:left="709"/>
        <w:jc w:val="left"/>
        <w:rPr/>
      </w:pPr>
      <w:r>
        <w:rPr/>
        <w:t xml:space="preserve">can consult the governing decision procedure before a consequential act </w:t>
      </w:r>
    </w:p>
    <w:p>
      <w:pPr>
        <w:pStyle w:val="BodyText"/>
        <w:numPr>
          <w:ilvl w:val="0"/>
          <w:numId w:val="31"/>
        </w:numPr>
        <w:tabs>
          <w:tab w:val="clear" w:pos="1134"/>
          <w:tab w:val="left" w:pos="709" w:leader="none"/>
        </w:tabs>
        <w:bidi w:val="0"/>
        <w:spacing w:before="0" w:after="0"/>
        <w:ind w:hanging="283" w:left="709"/>
        <w:jc w:val="left"/>
        <w:rPr/>
      </w:pPr>
      <w:r>
        <w:rPr/>
        <w:t xml:space="preserve">has a declared escalation target </w:t>
      </w:r>
    </w:p>
    <w:p>
      <w:pPr>
        <w:pStyle w:val="BodyText"/>
        <w:numPr>
          <w:ilvl w:val="0"/>
          <w:numId w:val="31"/>
        </w:numPr>
        <w:tabs>
          <w:tab w:val="clear" w:pos="1134"/>
          <w:tab w:val="left" w:pos="709" w:leader="none"/>
        </w:tabs>
        <w:bidi w:val="0"/>
        <w:spacing w:before="0" w:after="0"/>
        <w:ind w:hanging="283" w:left="709"/>
        <w:jc w:val="left"/>
        <w:rPr/>
      </w:pPr>
      <w:r>
        <w:rPr/>
        <w:t xml:space="preserve">has its reachable consequential tools classified and gated </w:t>
      </w:r>
    </w:p>
    <w:p>
      <w:pPr>
        <w:pStyle w:val="BodyText"/>
        <w:numPr>
          <w:ilvl w:val="0"/>
          <w:numId w:val="31"/>
        </w:numPr>
        <w:tabs>
          <w:tab w:val="clear" w:pos="1134"/>
          <w:tab w:val="left" w:pos="709" w:leader="none"/>
        </w:tabs>
        <w:bidi w:val="0"/>
        <w:ind w:hanging="283" w:left="709"/>
        <w:jc w:val="left"/>
        <w:rPr/>
      </w:pPr>
      <w:r>
        <w:rPr/>
        <w:t xml:space="preserve">operates inside an activity shape with declared stop conditions and a review point (see §8.11) </w:t>
      </w:r>
    </w:p>
    <w:p>
      <w:pPr>
        <w:pStyle w:val="BodyText"/>
        <w:bidi w:val="0"/>
        <w:jc w:val="left"/>
        <w:rPr/>
      </w:pPr>
      <w:r>
        <w:rPr/>
        <w:t xml:space="preserve">and </w:t>
      </w:r>
      <w:r>
        <w:rPr>
          <w:rStyle w:val="SourceText"/>
        </w:rPr>
        <w:t>SHOULD</w:t>
      </w:r>
      <w:r>
        <w:rPr/>
        <w:t xml:space="preserve"> establish that the agent has passed a behavioural evaluation that exercises a real action of its own domain rather than a generic capability probe (see §16.1).</w:t>
      </w:r>
    </w:p>
    <w:p>
      <w:pPr>
        <w:pStyle w:val="BodyText"/>
        <w:bidi w:val="0"/>
        <w:jc w:val="left"/>
        <w:rPr/>
      </w:pPr>
      <w:r>
        <w:rPr/>
        <w:t xml:space="preserve">These criteria </w:t>
      </w:r>
      <w:r>
        <w:rPr>
          <w:rStyle w:val="SourceText"/>
        </w:rPr>
        <w:t>SHOULD</w:t>
      </w:r>
      <w:r>
        <w:rPr/>
        <w:t xml:space="preserve"> be machine-evaluable. An admission rule that depends on human recollection degrades silently as the tool surface and the agent roster grow.</w:t>
      </w:r>
    </w:p>
    <w:p>
      <w:pPr>
        <w:pStyle w:val="Heading3"/>
        <w:bidi w:val="0"/>
        <w:jc w:val="left"/>
        <w:rPr/>
      </w:pPr>
      <w:r>
        <w:rPr/>
        <w:t>7.13 Principle-Directed Decision Contract</w:t>
      </w:r>
    </w:p>
    <w:p>
      <w:pPr>
        <w:pStyle w:val="BodyText"/>
        <w:bidi w:val="0"/>
        <w:jc w:val="left"/>
        <w:rPr/>
      </w:pPr>
      <w:r>
        <w:rPr>
          <w:rStyle w:val="Strong"/>
        </w:rPr>
        <w:t>Working-draft amendment, EP-B932453F / BI-A484D58F.</w:t>
      </w:r>
      <w:r>
        <w:rPr/>
        <w:t xml:space="preserve"> The stable clause IDs below identify proposed requirements for independent review. They are not a statement that DPF or another implementation currently satisfies them. A conformance claim to this amendment names its reviewed document revision as well as the TAK profile.</w:t>
      </w:r>
    </w:p>
    <w:p>
      <w:pPr>
        <w:pStyle w:val="BodyText"/>
        <w:bidi w:val="0"/>
        <w:jc w:val="left"/>
        <w:rPr/>
      </w:pPr>
      <w:r>
        <w:rPr/>
        <w:t>A principle directs judgment; a policy constrains action; a grant establishes authority. A vector or other ranking mechanism can implement preferences, but cannot replace any of these distinct responsibilities. This contract does not require a particular model, scoring algorithm, numerical representation or vendor.</w:t>
      </w:r>
    </w:p>
    <w:tbl>
      <w:tblPr>
        <w:tblW w:w="47040" w:type="dxa"/>
        <w:jc w:val="left"/>
        <w:tblInd w:w="0" w:type="dxa"/>
        <w:tblLayout w:type="fixed"/>
        <w:tblCellMar>
          <w:top w:w="28" w:type="dxa"/>
          <w:left w:w="28" w:type="dxa"/>
          <w:bottom w:w="28" w:type="dxa"/>
          <w:right w:w="28" w:type="dxa"/>
        </w:tblCellMar>
      </w:tblPr>
      <w:tblGrid>
        <w:gridCol w:w="2039"/>
        <w:gridCol w:w="45001"/>
      </w:tblGrid>
      <w:tr>
        <w:trPr>
          <w:tblHeader w:val="true"/>
        </w:trPr>
        <w:tc>
          <w:tcPr>
            <w:tcW w:w="2039" w:type="dxa"/>
            <w:tcBorders/>
            <w:vAlign w:val="center"/>
          </w:tcPr>
          <w:p>
            <w:pPr>
              <w:pStyle w:val="TableHeading"/>
              <w:suppressLineNumbers/>
              <w:bidi w:val="0"/>
              <w:spacing w:before="0" w:after="283"/>
              <w:jc w:val="center"/>
              <w:rPr/>
            </w:pPr>
            <w:r>
              <w:rPr/>
              <w:t>Clause</w:t>
            </w:r>
          </w:p>
        </w:tc>
        <w:tc>
          <w:tcPr>
            <w:tcW w:w="45001" w:type="dxa"/>
            <w:tcBorders/>
            <w:vAlign w:val="center"/>
          </w:tcPr>
          <w:p>
            <w:pPr>
              <w:pStyle w:val="TableHeading"/>
              <w:suppressLineNumbers/>
              <w:bidi w:val="0"/>
              <w:spacing w:before="0" w:after="283"/>
              <w:jc w:val="center"/>
              <w:rPr/>
            </w:pPr>
            <w:r>
              <w:rPr/>
              <w:t>Requirement</w:t>
            </w:r>
          </w:p>
        </w:tc>
      </w:tr>
      <w:tr>
        <w:trPr/>
        <w:tc>
          <w:tcPr>
            <w:tcW w:w="2039" w:type="dxa"/>
            <w:tcBorders/>
            <w:vAlign w:val="center"/>
          </w:tcPr>
          <w:p>
            <w:pPr>
              <w:pStyle w:val="TableContents"/>
              <w:bidi w:val="0"/>
              <w:spacing w:before="0" w:after="283"/>
              <w:jc w:val="left"/>
              <w:rPr/>
            </w:pPr>
            <w:r>
              <w:rPr>
                <w:rStyle w:val="SourceText"/>
              </w:rPr>
              <w:t>TAK-PD-001</w:t>
            </w:r>
          </w:p>
        </w:tc>
        <w:tc>
          <w:tcPr>
            <w:tcW w:w="45001" w:type="dxa"/>
            <w:tcBorders/>
            <w:vAlign w:val="center"/>
          </w:tcPr>
          <w:p>
            <w:pPr>
              <w:pStyle w:val="TableContents"/>
              <w:bidi w:val="0"/>
              <w:spacing w:before="0" w:after="283"/>
              <w:jc w:val="left"/>
              <w:rPr/>
            </w:pPr>
            <w:r>
              <w:rPr/>
              <w:t xml:space="preserve">Before resolving a governed decision, the runtime </w:t>
            </w:r>
            <w:r>
              <w:rPr>
                <w:rStyle w:val="SourceText"/>
              </w:rPr>
              <w:t>MUST</w:t>
            </w:r>
            <w:r>
              <w:rPr/>
              <w:t xml:space="preserve"> identify the owning authority scope, accountable principal and applicable doctrine. It </w:t>
            </w:r>
            <w:r>
              <w:rPr>
                <w:rStyle w:val="SourceText"/>
              </w:rPr>
              <w:t>MUST NOT</w:t>
            </w:r>
            <w:r>
              <w:rPr/>
              <w:t xml:space="preserve"> treat advice from a neighboring scope as binding authority without an attributable decision by the owning scope.</w:t>
            </w:r>
          </w:p>
        </w:tc>
      </w:tr>
      <w:tr>
        <w:trPr/>
        <w:tc>
          <w:tcPr>
            <w:tcW w:w="2039" w:type="dxa"/>
            <w:tcBorders/>
            <w:vAlign w:val="center"/>
          </w:tcPr>
          <w:p>
            <w:pPr>
              <w:pStyle w:val="TableContents"/>
              <w:bidi w:val="0"/>
              <w:spacing w:before="0" w:after="283"/>
              <w:jc w:val="left"/>
              <w:rPr/>
            </w:pPr>
            <w:r>
              <w:rPr>
                <w:rStyle w:val="SourceText"/>
              </w:rPr>
              <w:t>TAK-PD-002</w:t>
            </w:r>
          </w:p>
        </w:tc>
        <w:tc>
          <w:tcPr>
            <w:tcW w:w="45001" w:type="dxa"/>
            <w:tcBorders/>
            <w:vAlign w:val="center"/>
          </w:tcPr>
          <w:p>
            <w:pPr>
              <w:pStyle w:val="TableContents"/>
              <w:bidi w:val="0"/>
              <w:spacing w:before="0" w:after="283"/>
              <w:jc w:val="left"/>
              <w:rPr/>
            </w:pPr>
            <w:r>
              <w:rPr/>
              <w:t xml:space="preserve">The decision record </w:t>
            </w:r>
            <w:r>
              <w:rPr>
                <w:rStyle w:val="SourceText"/>
              </w:rPr>
              <w:t>MUST</w:t>
            </w:r>
            <w:r>
              <w:rPr/>
              <w:t xml:space="preserve"> bind the evaluated versions of the work definition, operating profile, applicable principles/policies and material evidence. It </w:t>
            </w:r>
            <w:r>
              <w:rPr>
                <w:rStyle w:val="SourceText"/>
              </w:rPr>
              <w:t>MUST</w:t>
            </w:r>
            <w:r>
              <w:rPr/>
              <w:t xml:space="preserve"> distinguish observed facts, assumptions and model judgments, including unavailable or stale evidence.</w:t>
            </w:r>
          </w:p>
        </w:tc>
      </w:tr>
      <w:tr>
        <w:trPr/>
        <w:tc>
          <w:tcPr>
            <w:tcW w:w="2039" w:type="dxa"/>
            <w:tcBorders/>
            <w:vAlign w:val="center"/>
          </w:tcPr>
          <w:p>
            <w:pPr>
              <w:pStyle w:val="TableContents"/>
              <w:bidi w:val="0"/>
              <w:spacing w:before="0" w:after="283"/>
              <w:jc w:val="left"/>
              <w:rPr/>
            </w:pPr>
            <w:r>
              <w:rPr>
                <w:rStyle w:val="SourceText"/>
              </w:rPr>
              <w:t>TAK-PD-003</w:t>
            </w:r>
          </w:p>
        </w:tc>
        <w:tc>
          <w:tcPr>
            <w:tcW w:w="45001" w:type="dxa"/>
            <w:tcBorders/>
            <w:vAlign w:val="center"/>
          </w:tcPr>
          <w:p>
            <w:pPr>
              <w:pStyle w:val="TableContents"/>
              <w:bidi w:val="0"/>
              <w:spacing w:before="0" w:after="283"/>
              <w:jc w:val="left"/>
              <w:rPr/>
            </w:pPr>
            <w:r>
              <w:rPr/>
              <w:t xml:space="preserve">The decision procedure </w:t>
            </w:r>
            <w:r>
              <w:rPr>
                <w:rStyle w:val="SourceText"/>
              </w:rPr>
              <w:t>MUST</w:t>
            </w:r>
            <w:r>
              <w:rPr/>
              <w:t xml:space="preserve"> apply hard constraints before ranking eligible alternatives. It </w:t>
            </w:r>
            <w:r>
              <w:rPr>
                <w:rStyle w:val="SourceText"/>
              </w:rPr>
              <w:t>MUST NOT</w:t>
            </w:r>
            <w:r>
              <w:rPr/>
              <w:t xml:space="preserve"> compensate for a failed constraint with a preference score, confidence score, low cost or urgency. If vectors are used, axis definitions, direction, scale and weight versions </w:t>
            </w:r>
            <w:r>
              <w:rPr>
                <w:rStyle w:val="SourceText"/>
              </w:rPr>
              <w:t>MUST</w:t>
            </w:r>
            <w:r>
              <w:rPr/>
              <w:t xml:space="preserve"> be recorded.</w:t>
            </w:r>
          </w:p>
        </w:tc>
      </w:tr>
      <w:tr>
        <w:trPr/>
        <w:tc>
          <w:tcPr>
            <w:tcW w:w="2039" w:type="dxa"/>
            <w:tcBorders/>
            <w:vAlign w:val="center"/>
          </w:tcPr>
          <w:p>
            <w:pPr>
              <w:pStyle w:val="TableContents"/>
              <w:bidi w:val="0"/>
              <w:spacing w:before="0" w:after="283"/>
              <w:jc w:val="left"/>
              <w:rPr/>
            </w:pPr>
            <w:r>
              <w:rPr>
                <w:rStyle w:val="SourceText"/>
              </w:rPr>
              <w:t>TAK-PD-004</w:t>
            </w:r>
          </w:p>
        </w:tc>
        <w:tc>
          <w:tcPr>
            <w:tcW w:w="45001" w:type="dxa"/>
            <w:tcBorders/>
            <w:vAlign w:val="center"/>
          </w:tcPr>
          <w:p>
            <w:pPr>
              <w:pStyle w:val="TableContents"/>
              <w:bidi w:val="0"/>
              <w:spacing w:before="0" w:after="283"/>
              <w:jc w:val="left"/>
              <w:rPr/>
            </w:pPr>
            <w:r>
              <w:rPr/>
              <w:t xml:space="preserve">A recommendation </w:t>
            </w:r>
            <w:r>
              <w:rPr>
                <w:rStyle w:val="SourceText"/>
              </w:rPr>
              <w:t>MUST</w:t>
            </w:r>
            <w:r>
              <w:rPr/>
              <w:t xml:space="preserve"> remain distinct from authorization. Before a consequential effect, the runtime </w:t>
            </w:r>
            <w:r>
              <w:rPr>
                <w:rStyle w:val="SourceText"/>
              </w:rPr>
              <w:t>MUST</w:t>
            </w:r>
            <w:r>
              <w:rPr/>
              <w:t xml:space="preserve"> apply the current effective-permission rule of §7.2 and the applicable qualification/oversight ceilings to the exact proposed action.</w:t>
            </w:r>
          </w:p>
        </w:tc>
      </w:tr>
      <w:tr>
        <w:trPr/>
        <w:tc>
          <w:tcPr>
            <w:tcW w:w="2039" w:type="dxa"/>
            <w:tcBorders/>
            <w:vAlign w:val="center"/>
          </w:tcPr>
          <w:p>
            <w:pPr>
              <w:pStyle w:val="TableContents"/>
              <w:bidi w:val="0"/>
              <w:spacing w:before="0" w:after="283"/>
              <w:jc w:val="left"/>
              <w:rPr/>
            </w:pPr>
            <w:r>
              <w:rPr>
                <w:rStyle w:val="SourceText"/>
              </w:rPr>
              <w:t>TAK-PD-005</w:t>
            </w:r>
          </w:p>
        </w:tc>
        <w:tc>
          <w:tcPr>
            <w:tcW w:w="45001" w:type="dxa"/>
            <w:tcBorders/>
            <w:vAlign w:val="center"/>
          </w:tcPr>
          <w:p>
            <w:pPr>
              <w:pStyle w:val="TableContents"/>
              <w:bidi w:val="0"/>
              <w:spacing w:before="0" w:after="283"/>
              <w:jc w:val="left"/>
              <w:rPr/>
            </w:pPr>
            <w:r>
              <w:rPr/>
              <w:t xml:space="preserve">An unresolved material fact, scope conflict or authority gap </w:t>
            </w:r>
            <w:r>
              <w:rPr>
                <w:rStyle w:val="SourceText"/>
              </w:rPr>
              <w:t>MUST</w:t>
            </w:r>
            <w:r>
              <w:rPr/>
              <w:t xml:space="preserve"> produce a recorded disposition that prevents the dependent effect and identifies the needed evidence or accountable resolver. Bounded evidence collection may continue only within existing authority.</w:t>
            </w:r>
          </w:p>
        </w:tc>
      </w:tr>
      <w:tr>
        <w:trPr/>
        <w:tc>
          <w:tcPr>
            <w:tcW w:w="2039" w:type="dxa"/>
            <w:tcBorders/>
            <w:vAlign w:val="center"/>
          </w:tcPr>
          <w:p>
            <w:pPr>
              <w:pStyle w:val="TableContents"/>
              <w:bidi w:val="0"/>
              <w:spacing w:before="0" w:after="283"/>
              <w:jc w:val="left"/>
              <w:rPr/>
            </w:pPr>
            <w:r>
              <w:rPr>
                <w:rStyle w:val="SourceText"/>
              </w:rPr>
              <w:t>TAK-PD-006</w:t>
            </w:r>
          </w:p>
        </w:tc>
        <w:tc>
          <w:tcPr>
            <w:tcW w:w="45001" w:type="dxa"/>
            <w:tcBorders/>
            <w:vAlign w:val="center"/>
          </w:tcPr>
          <w:p>
            <w:pPr>
              <w:pStyle w:val="TableContents"/>
              <w:bidi w:val="0"/>
              <w:spacing w:before="0" w:after="283"/>
              <w:jc w:val="left"/>
              <w:rPr/>
            </w:pPr>
            <w:r>
              <w:rPr/>
              <w:t xml:space="preserve">Authorization </w:t>
            </w:r>
            <w:r>
              <w:rPr>
                <w:rStyle w:val="SourceText"/>
              </w:rPr>
              <w:t>MUST</w:t>
            </w:r>
            <w:r>
              <w:rPr/>
              <w:t xml:space="preserve"> bind the action, parameters or their canonical digest, target, purpose, operating profile and validity conditions. The execution boundary </w:t>
            </w:r>
            <w:r>
              <w:rPr>
                <w:rStyle w:val="SourceText"/>
              </w:rPr>
              <w:t>MUST</w:t>
            </w:r>
            <w:r>
              <w:rPr/>
              <w:t xml:space="preserve"> reject material substitution, expired/revoked authority or stale preconditions before the effect. The implementation </w:t>
            </w:r>
            <w:r>
              <w:rPr>
                <w:rStyle w:val="SourceText"/>
              </w:rPr>
              <w:t>MUST</w:t>
            </w:r>
            <w:r>
              <w:rPr/>
              <w:t xml:space="preserve"> document how it prevents or contains a race between validation and use.</w:t>
            </w:r>
          </w:p>
        </w:tc>
      </w:tr>
      <w:tr>
        <w:trPr/>
        <w:tc>
          <w:tcPr>
            <w:tcW w:w="2039" w:type="dxa"/>
            <w:tcBorders/>
            <w:vAlign w:val="center"/>
          </w:tcPr>
          <w:p>
            <w:pPr>
              <w:pStyle w:val="TableContents"/>
              <w:bidi w:val="0"/>
              <w:spacing w:before="0" w:after="283"/>
              <w:jc w:val="left"/>
              <w:rPr/>
            </w:pPr>
            <w:r>
              <w:rPr>
                <w:rStyle w:val="SourceText"/>
              </w:rPr>
              <w:t>TAK-PD-007</w:t>
            </w:r>
          </w:p>
        </w:tc>
        <w:tc>
          <w:tcPr>
            <w:tcW w:w="45001" w:type="dxa"/>
            <w:tcBorders/>
            <w:vAlign w:val="center"/>
          </w:tcPr>
          <w:p>
            <w:pPr>
              <w:pStyle w:val="TableContents"/>
              <w:bidi w:val="0"/>
              <w:spacing w:before="0" w:after="283"/>
              <w:jc w:val="left"/>
              <w:rPr/>
            </w:pPr>
            <w:r>
              <w:rPr/>
              <w:t xml:space="preserve">An ambiguous result after submission </w:t>
            </w:r>
            <w:r>
              <w:rPr>
                <w:rStyle w:val="SourceText"/>
              </w:rPr>
              <w:t>MUST</w:t>
            </w:r>
            <w:r>
              <w:rPr/>
              <w:t xml:space="preserve"> be recorded as an uncertain effect. Before retrying, the runtime </w:t>
            </w:r>
            <w:r>
              <w:rPr>
                <w:rStyle w:val="SourceText"/>
              </w:rPr>
              <w:t>MUST</w:t>
            </w:r>
            <w:r>
              <w:rPr/>
              <w:t xml:space="preserve"> reconcile the effect or use a verified idempotency contract. It </w:t>
            </w:r>
            <w:r>
              <w:rPr>
                <w:rStyle w:val="SourceText"/>
              </w:rPr>
              <w:t>MUST NOT</w:t>
            </w:r>
            <w:r>
              <w:rPr/>
              <w:t xml:space="preserve"> equate transport failure with evidence that no effect occurred.</w:t>
            </w:r>
          </w:p>
        </w:tc>
      </w:tr>
      <w:tr>
        <w:trPr/>
        <w:tc>
          <w:tcPr>
            <w:tcW w:w="2039" w:type="dxa"/>
            <w:tcBorders/>
            <w:vAlign w:val="center"/>
          </w:tcPr>
          <w:p>
            <w:pPr>
              <w:pStyle w:val="TableContents"/>
              <w:bidi w:val="0"/>
              <w:spacing w:before="0" w:after="283"/>
              <w:jc w:val="left"/>
              <w:rPr/>
            </w:pPr>
            <w:r>
              <w:rPr>
                <w:rStyle w:val="SourceText"/>
              </w:rPr>
              <w:t>TAK-PD-008</w:t>
            </w:r>
          </w:p>
        </w:tc>
        <w:tc>
          <w:tcPr>
            <w:tcW w:w="45001" w:type="dxa"/>
            <w:tcBorders/>
            <w:vAlign w:val="center"/>
          </w:tcPr>
          <w:p>
            <w:pPr>
              <w:pStyle w:val="TableContents"/>
              <w:bidi w:val="0"/>
              <w:spacing w:before="0" w:after="283"/>
              <w:jc w:val="left"/>
              <w:rPr/>
            </w:pPr>
            <w:r>
              <w:rPr/>
              <w:t xml:space="preserve">Autonomous decision loops </w:t>
            </w:r>
            <w:r>
              <w:rPr>
                <w:rStyle w:val="SourceText"/>
              </w:rPr>
              <w:t>MUST</w:t>
            </w:r>
            <w:r>
              <w:rPr/>
              <w:t xml:space="preserve"> have declared work, time/resource and retry bounds, stop conditions and an accountable recovery path. Exhaustion </w:t>
            </w:r>
            <w:r>
              <w:rPr>
                <w:rStyle w:val="SourceText"/>
              </w:rPr>
              <w:t>MUST NOT</w:t>
            </w:r>
            <w:r>
              <w:rPr/>
              <w:t xml:space="preserve"> relax authority or mandatory controls. Recovery from a hold </w:t>
            </w:r>
            <w:r>
              <w:rPr>
                <w:rStyle w:val="SourceText"/>
              </w:rPr>
              <w:t>MUST</w:t>
            </w:r>
            <w:r>
              <w:rPr/>
              <w:t xml:space="preserve"> re-evaluate changed facts and current authority.</w:t>
            </w:r>
          </w:p>
        </w:tc>
      </w:tr>
    </w:tbl>
    <w:p>
      <w:pPr>
        <w:pStyle w:val="BodyText"/>
        <w:bidi w:val="0"/>
        <w:jc w:val="left"/>
        <w:rPr/>
      </w:pPr>
      <w:r>
        <w:rPr/>
        <w:t>These clauses refine §§7.2, 7.7, 8.7, 8.11 and 13.3. They do not create a second authorization engine. An implementation statement identifies the enforcement boundary for each reachable effect, including effects reachable through shell, browser, code execution, delegation and model-provider calls. Prompt instructions alone do not establish complete mediation. Host compromise and controls outside the declared boundary remain explicit assurance limits.</w:t>
      </w:r>
    </w:p>
    <w:p>
      <w:pPr>
        <w:pStyle w:val="BodyText"/>
        <w:bidi w:val="0"/>
        <w:jc w:val="left"/>
        <w:rPr/>
      </w:pPr>
      <w:r>
        <w:rPr/>
        <w:t xml:space="preserve">The </w:t>
      </w:r>
      <w:r>
        <w:fldChar w:fldCharType="begin"/>
      </w:r>
      <w:r>
        <w:rPr>
          <w:rStyle w:val="Hyperlink"/>
        </w:rPr>
        <w:instrText xml:space="preserve"> HYPERLINK "../in/tak-conformance-tests.md" \l "principle-directed-amendment-assertions"</w:instrText>
      </w:r>
      <w:r>
        <w:rPr>
          <w:rStyle w:val="Hyperlink"/>
        </w:rPr>
        <w:fldChar w:fldCharType="separate"/>
      </w:r>
      <w:r>
        <w:rPr>
          <w:rStyle w:val="Hyperlink"/>
        </w:rPr>
        <w:t>assertion rubric</w:t>
      </w:r>
      <w:r>
        <w:rPr>
          <w:rStyle w:val="Hyperlink"/>
        </w:rPr>
        <w:fldChar w:fldCharType="end"/>
      </w:r>
      <w:r>
        <w:rPr/>
        <w:t xml:space="preserve"> maps these clauses to observable challenges. The informative </w:t>
      </w:r>
      <w:hyperlink r:id="rId52">
        <w:r>
          <w:rPr>
            <w:rStyle w:val="Hyperlink"/>
          </w:rPr>
          <w:t>composition design</w:t>
        </w:r>
      </w:hyperlink>
      <w:r>
        <w:rPr/>
        <w:t xml:space="preserve"> describes MBSE views and the DPF scope binding without adding normative owners.</w:t>
      </w:r>
    </w:p>
    <w:p>
      <w:pPr>
        <w:pStyle w:val="Heading2"/>
        <w:bidi w:val="0"/>
        <w:jc w:val="left"/>
        <w:rPr/>
      </w:pPr>
      <w:r>
        <w:rPr/>
        <w:t>8. Tool Execution and Action Gating</w:t>
      </w:r>
    </w:p>
    <w:p>
      <w:pPr>
        <w:pStyle w:val="Heading3"/>
        <w:bidi w:val="0"/>
        <w:jc w:val="left"/>
        <w:rPr/>
      </w:pPr>
      <w:r>
        <w:rPr/>
        <w:t>8.1 Tool Definitions</w:t>
      </w:r>
    </w:p>
    <w:p>
      <w:pPr>
        <w:pStyle w:val="BodyText"/>
        <w:bidi w:val="0"/>
        <w:jc w:val="left"/>
        <w:rPr/>
      </w:pPr>
      <w:r>
        <w:rPr/>
        <w:t xml:space="preserve">A conforming implementation </w:t>
      </w:r>
      <w:r>
        <w:rPr>
          <w:rStyle w:val="SourceText"/>
        </w:rPr>
        <w:t>MUST</w:t>
      </w:r>
      <w:r>
        <w:rPr/>
        <w:t xml:space="preserve"> define tools with machine-readable metadata sufficient to enforce policy. At minimum, each tool definition </w:t>
      </w:r>
      <w:r>
        <w:rPr>
          <w:rStyle w:val="SourceText"/>
        </w:rPr>
        <w:t>MUST</w:t>
      </w:r>
      <w:r>
        <w:rPr/>
        <w:t xml:space="preserve"> declare:</w:t>
      </w:r>
    </w:p>
    <w:p>
      <w:pPr>
        <w:pStyle w:val="BodyText"/>
        <w:numPr>
          <w:ilvl w:val="0"/>
          <w:numId w:val="32"/>
        </w:numPr>
        <w:tabs>
          <w:tab w:val="clear" w:pos="1134"/>
          <w:tab w:val="left" w:pos="709" w:leader="none"/>
        </w:tabs>
        <w:bidi w:val="0"/>
        <w:spacing w:before="0" w:after="0"/>
        <w:ind w:hanging="283" w:left="709"/>
        <w:jc w:val="left"/>
        <w:rPr/>
      </w:pPr>
      <w:r>
        <w:rPr/>
        <w:t xml:space="preserve">identifier </w:t>
      </w:r>
    </w:p>
    <w:p>
      <w:pPr>
        <w:pStyle w:val="BodyText"/>
        <w:numPr>
          <w:ilvl w:val="0"/>
          <w:numId w:val="32"/>
        </w:numPr>
        <w:tabs>
          <w:tab w:val="clear" w:pos="1134"/>
          <w:tab w:val="left" w:pos="709" w:leader="none"/>
        </w:tabs>
        <w:bidi w:val="0"/>
        <w:spacing w:before="0" w:after="0"/>
        <w:ind w:hanging="283" w:left="709"/>
        <w:jc w:val="left"/>
        <w:rPr/>
      </w:pPr>
      <w:r>
        <w:rPr/>
        <w:t xml:space="preserve">purpose </w:t>
      </w:r>
    </w:p>
    <w:p>
      <w:pPr>
        <w:pStyle w:val="BodyText"/>
        <w:numPr>
          <w:ilvl w:val="0"/>
          <w:numId w:val="32"/>
        </w:numPr>
        <w:tabs>
          <w:tab w:val="clear" w:pos="1134"/>
          <w:tab w:val="left" w:pos="709" w:leader="none"/>
        </w:tabs>
        <w:bidi w:val="0"/>
        <w:spacing w:before="0" w:after="0"/>
        <w:ind w:hanging="283" w:left="709"/>
        <w:jc w:val="left"/>
        <w:rPr/>
      </w:pPr>
      <w:r>
        <w:rPr/>
        <w:t xml:space="preserve">parameter schema </w:t>
      </w:r>
    </w:p>
    <w:p>
      <w:pPr>
        <w:pStyle w:val="BodyText"/>
        <w:numPr>
          <w:ilvl w:val="0"/>
          <w:numId w:val="32"/>
        </w:numPr>
        <w:tabs>
          <w:tab w:val="clear" w:pos="1134"/>
          <w:tab w:val="left" w:pos="709" w:leader="none"/>
        </w:tabs>
        <w:bidi w:val="0"/>
        <w:spacing w:before="0" w:after="0"/>
        <w:ind w:hanging="283" w:left="709"/>
        <w:jc w:val="left"/>
        <w:rPr/>
      </w:pPr>
      <w:r>
        <w:rPr/>
        <w:t xml:space="preserve">whether the tool is side-effecting </w:t>
      </w:r>
    </w:p>
    <w:p>
      <w:pPr>
        <w:pStyle w:val="BodyText"/>
        <w:numPr>
          <w:ilvl w:val="0"/>
          <w:numId w:val="32"/>
        </w:numPr>
        <w:tabs>
          <w:tab w:val="clear" w:pos="1134"/>
          <w:tab w:val="left" w:pos="709" w:leader="none"/>
        </w:tabs>
        <w:bidi w:val="0"/>
        <w:spacing w:before="0" w:after="0"/>
        <w:ind w:hanging="283" w:left="709"/>
        <w:jc w:val="left"/>
        <w:rPr/>
      </w:pPr>
      <w:r>
        <w:rPr/>
        <w:t xml:space="preserve">its execution mode </w:t>
      </w:r>
    </w:p>
    <w:p>
      <w:pPr>
        <w:pStyle w:val="BodyText"/>
        <w:numPr>
          <w:ilvl w:val="0"/>
          <w:numId w:val="32"/>
        </w:numPr>
        <w:tabs>
          <w:tab w:val="clear" w:pos="1134"/>
          <w:tab w:val="left" w:pos="709" w:leader="none"/>
        </w:tabs>
        <w:bidi w:val="0"/>
        <w:spacing w:before="0" w:after="0"/>
        <w:ind w:hanging="283" w:left="709"/>
        <w:jc w:val="left"/>
        <w:rPr/>
      </w:pPr>
      <w:r>
        <w:rPr/>
        <w:t xml:space="preserve">required authority or capability class </w:t>
      </w:r>
    </w:p>
    <w:p>
      <w:pPr>
        <w:pStyle w:val="BodyText"/>
        <w:numPr>
          <w:ilvl w:val="0"/>
          <w:numId w:val="32"/>
        </w:numPr>
        <w:tabs>
          <w:tab w:val="clear" w:pos="1134"/>
          <w:tab w:val="left" w:pos="709" w:leader="none"/>
        </w:tabs>
        <w:bidi w:val="0"/>
        <w:ind w:hanging="283" w:left="709"/>
        <w:jc w:val="left"/>
        <w:rPr/>
      </w:pPr>
      <w:r>
        <w:rPr/>
        <w:t xml:space="preserve">its consequence class (see below) </w:t>
      </w:r>
    </w:p>
    <w:p>
      <w:pPr>
        <w:pStyle w:val="BodyText"/>
        <w:bidi w:val="0"/>
        <w:jc w:val="left"/>
        <w:rPr/>
      </w:pPr>
      <w:r>
        <w:rPr/>
        <w:t xml:space="preserve">The runtime </w:t>
      </w:r>
      <w:r>
        <w:rPr>
          <w:rStyle w:val="SourceText"/>
        </w:rPr>
        <w:t>MUST NOT</w:t>
      </w:r>
      <w:r>
        <w:rPr/>
        <w:t xml:space="preserve"> rely solely on natural-language tool descriptions for governance decisions.</w:t>
      </w:r>
    </w:p>
    <w:p>
      <w:pPr>
        <w:pStyle w:val="BodyText"/>
        <w:bidi w:val="0"/>
        <w:jc w:val="left"/>
        <w:rPr/>
      </w:pPr>
      <w:r>
        <w:rPr>
          <w:rStyle w:val="Strong"/>
        </w:rPr>
        <w:t>Consequence class.</w:t>
      </w:r>
      <w:r>
        <w:rPr/>
        <w:t xml:space="preserve"> Implementation experience shows that a side-effect flag alone is not a sufficient governance discriminator: it separates tools that write from tools that read, but not tools whose effects are routinely reversible from tools that move money, reach a third party, change authority, or destroy state. A runtime that can only ask "does this write?" must either gate everything — which makes the gate unusable and invites operators to disable it — or gate a hand-picked subset, which is the failure mode §8.4 addresses.</w:t>
      </w:r>
    </w:p>
    <w:p>
      <w:pPr>
        <w:pStyle w:val="BodyText"/>
        <w:bidi w:val="0"/>
        <w:jc w:val="left"/>
        <w:rPr/>
      </w:pPr>
      <w:r>
        <w:rPr/>
        <w:t xml:space="preserve">Each side-effecting tool </w:t>
      </w:r>
      <w:r>
        <w:rPr>
          <w:rStyle w:val="SourceText"/>
        </w:rPr>
        <w:t>MUST</w:t>
      </w:r>
      <w:r>
        <w:rPr/>
        <w:t xml:space="preserve"> therefore declare a consequence class sufficient to distinguish at least:</w:t>
      </w:r>
    </w:p>
    <w:p>
      <w:pPr>
        <w:pStyle w:val="BodyText"/>
        <w:numPr>
          <w:ilvl w:val="0"/>
          <w:numId w:val="33"/>
        </w:numPr>
        <w:tabs>
          <w:tab w:val="clear" w:pos="1134"/>
          <w:tab w:val="left" w:pos="709" w:leader="none"/>
        </w:tabs>
        <w:bidi w:val="0"/>
        <w:spacing w:before="0" w:after="0"/>
        <w:ind w:hanging="283" w:left="709"/>
        <w:jc w:val="left"/>
        <w:rPr/>
      </w:pPr>
      <w:r>
        <w:rPr>
          <w:rStyle w:val="Strong"/>
        </w:rPr>
        <w:t>ordinary</w:t>
      </w:r>
      <w:r>
        <w:rPr/>
        <w:t xml:space="preserve"> — reversible within the system, effects contained, no external reach </w:t>
      </w:r>
    </w:p>
    <w:p>
      <w:pPr>
        <w:pStyle w:val="BodyText"/>
        <w:numPr>
          <w:ilvl w:val="0"/>
          <w:numId w:val="33"/>
        </w:numPr>
        <w:tabs>
          <w:tab w:val="clear" w:pos="1134"/>
          <w:tab w:val="left" w:pos="709" w:leader="none"/>
        </w:tabs>
        <w:bidi w:val="0"/>
        <w:ind w:hanging="283" w:left="709"/>
        <w:jc w:val="left"/>
        <w:rPr/>
      </w:pPr>
      <w:r>
        <w:rPr>
          <w:rStyle w:val="Strong"/>
        </w:rPr>
        <w:t>consequential</w:t>
      </w:r>
      <w:r>
        <w:rPr/>
        <w:t xml:space="preserve"> — hard to reverse, externally visible, or authority-, money-, or identity-affecting </w:t>
      </w:r>
    </w:p>
    <w:p>
      <w:pPr>
        <w:pStyle w:val="BodyText"/>
        <w:bidi w:val="0"/>
        <w:jc w:val="left"/>
        <w:rPr/>
      </w:pPr>
      <w:r>
        <w:rPr/>
        <w:t xml:space="preserve">A runtime </w:t>
      </w:r>
      <w:r>
        <w:rPr>
          <w:rStyle w:val="SourceText"/>
        </w:rPr>
        <w:t>MAY</w:t>
      </w:r>
      <w:r>
        <w:rPr/>
        <w:t xml:space="preserve"> define finer classes. An undeclared side-effecting tool </w:t>
      </w:r>
      <w:r>
        <w:rPr>
          <w:rStyle w:val="SourceText"/>
        </w:rPr>
        <w:t>MUST</w:t>
      </w:r>
      <w:r>
        <w:rPr/>
        <w:t xml:space="preserve"> be treated as </w:t>
      </w:r>
      <w:r>
        <w:rPr>
          <w:rStyle w:val="SourceText"/>
        </w:rPr>
        <w:t>consequential</w:t>
      </w:r>
      <w:r>
        <w:rPr/>
        <w:t xml:space="preserve"> until classified, never as </w:t>
      </w:r>
      <w:r>
        <w:rPr>
          <w:rStyle w:val="SourceText"/>
        </w:rPr>
        <w:t>ordinary</w:t>
      </w:r>
      <w:r>
        <w:rPr/>
        <w:t>.</w:t>
      </w:r>
    </w:p>
    <w:p>
      <w:pPr>
        <w:pStyle w:val="BodyText"/>
        <w:bidi w:val="0"/>
        <w:jc w:val="left"/>
        <w:rPr/>
      </w:pPr>
      <w:r>
        <w:rPr/>
        <w:t xml:space="preserve">Declarative instruction artifacts such as </w:t>
      </w:r>
      <w:r>
        <w:rPr>
          <w:rStyle w:val="SourceText"/>
        </w:rPr>
        <w:t>AGENTS.md</w:t>
      </w:r>
      <w:r>
        <w:rPr/>
        <w:t xml:space="preserve"> </w:t>
      </w:r>
      <w:r>
        <w:rPr>
          <w:rStyle w:val="SourceText"/>
        </w:rPr>
        <w:t>MAY</w:t>
      </w:r>
      <w:r>
        <w:rPr/>
        <w:t xml:space="preserve"> provide human- and agent-readable operating guidance for coding or workflow agents, but the runtime </w:t>
      </w:r>
      <w:r>
        <w:rPr>
          <w:rStyle w:val="SourceText"/>
        </w:rPr>
        <w:t>MUST</w:t>
      </w:r>
      <w:r>
        <w:rPr/>
        <w:t xml:space="preserve"> still maintain machine-readable tool and control metadata independently of those documents.</w:t>
      </w:r>
    </w:p>
    <w:p>
      <w:pPr>
        <w:pStyle w:val="Heading3"/>
        <w:bidi w:val="0"/>
        <w:jc w:val="left"/>
        <w:rPr/>
      </w:pPr>
      <w:r>
        <w:rPr/>
        <w:t>8.2 Execution Modes</w:t>
      </w:r>
    </w:p>
    <w:p>
      <w:pPr>
        <w:pStyle w:val="BodyText"/>
        <w:bidi w:val="0"/>
        <w:jc w:val="left"/>
        <w:rPr/>
      </w:pPr>
      <w:r>
        <w:rPr/>
        <w:t xml:space="preserve">At minimum, the runtime </w:t>
      </w:r>
      <w:r>
        <w:rPr>
          <w:rStyle w:val="SourceText"/>
        </w:rPr>
        <w:t>MUST</w:t>
      </w:r>
      <w:r>
        <w:rPr/>
        <w:t xml:space="preserve"> support two execution modes:</w:t>
      </w:r>
    </w:p>
    <w:tbl>
      <w:tblPr>
        <w:tblW w:w="8087" w:type="dxa"/>
        <w:jc w:val="left"/>
        <w:tblInd w:w="0" w:type="dxa"/>
        <w:tblLayout w:type="fixed"/>
        <w:tblCellMar>
          <w:top w:w="28" w:type="dxa"/>
          <w:left w:w="28" w:type="dxa"/>
          <w:bottom w:w="28" w:type="dxa"/>
          <w:right w:w="28" w:type="dxa"/>
        </w:tblCellMar>
      </w:tblPr>
      <w:tblGrid>
        <w:gridCol w:w="1417"/>
        <w:gridCol w:w="6670"/>
      </w:tblGrid>
      <w:tr>
        <w:trPr>
          <w:tblHeader w:val="true"/>
        </w:trPr>
        <w:tc>
          <w:tcPr>
            <w:tcW w:w="1417" w:type="dxa"/>
            <w:tcBorders/>
            <w:vAlign w:val="center"/>
          </w:tcPr>
          <w:p>
            <w:pPr>
              <w:pStyle w:val="TableHeading"/>
              <w:suppressLineNumbers/>
              <w:bidi w:val="0"/>
              <w:spacing w:before="0" w:after="283"/>
              <w:jc w:val="center"/>
              <w:rPr/>
            </w:pPr>
            <w:r>
              <w:rPr/>
              <w:t>Mode</w:t>
            </w:r>
          </w:p>
        </w:tc>
        <w:tc>
          <w:tcPr>
            <w:tcW w:w="6670" w:type="dxa"/>
            <w:tcBorders/>
            <w:vAlign w:val="center"/>
          </w:tcPr>
          <w:p>
            <w:pPr>
              <w:pStyle w:val="TableHeading"/>
              <w:suppressLineNumbers/>
              <w:bidi w:val="0"/>
              <w:spacing w:before="0" w:after="283"/>
              <w:jc w:val="center"/>
              <w:rPr/>
            </w:pPr>
            <w:r>
              <w:rPr/>
              <w:t>Meaning</w:t>
            </w:r>
          </w:p>
        </w:tc>
      </w:tr>
      <w:tr>
        <w:trPr/>
        <w:tc>
          <w:tcPr>
            <w:tcW w:w="1417" w:type="dxa"/>
            <w:tcBorders/>
            <w:vAlign w:val="center"/>
          </w:tcPr>
          <w:p>
            <w:pPr>
              <w:pStyle w:val="TableContents"/>
              <w:bidi w:val="0"/>
              <w:spacing w:before="0" w:after="283"/>
              <w:jc w:val="left"/>
              <w:rPr/>
            </w:pPr>
            <w:r>
              <w:rPr>
                <w:rStyle w:val="SourceText"/>
              </w:rPr>
              <w:t>immediate</w:t>
            </w:r>
          </w:p>
        </w:tc>
        <w:tc>
          <w:tcPr>
            <w:tcW w:w="6670" w:type="dxa"/>
            <w:tcBorders/>
            <w:vAlign w:val="center"/>
          </w:tcPr>
          <w:p>
            <w:pPr>
              <w:pStyle w:val="TableContents"/>
              <w:bidi w:val="0"/>
              <w:spacing w:before="0" w:after="283"/>
              <w:jc w:val="left"/>
              <w:rPr/>
            </w:pPr>
            <w:r>
              <w:rPr/>
              <w:t>Runtime may execute without per-action approval, subject to policy</w:t>
            </w:r>
          </w:p>
        </w:tc>
      </w:tr>
      <w:tr>
        <w:trPr/>
        <w:tc>
          <w:tcPr>
            <w:tcW w:w="1417" w:type="dxa"/>
            <w:tcBorders/>
            <w:vAlign w:val="center"/>
          </w:tcPr>
          <w:p>
            <w:pPr>
              <w:pStyle w:val="TableContents"/>
              <w:bidi w:val="0"/>
              <w:spacing w:before="0" w:after="283"/>
              <w:jc w:val="left"/>
              <w:rPr/>
            </w:pPr>
            <w:r>
              <w:rPr>
                <w:rStyle w:val="SourceText"/>
              </w:rPr>
              <w:t>proposal</w:t>
            </w:r>
          </w:p>
        </w:tc>
        <w:tc>
          <w:tcPr>
            <w:tcW w:w="6670" w:type="dxa"/>
            <w:tcBorders/>
            <w:vAlign w:val="center"/>
          </w:tcPr>
          <w:p>
            <w:pPr>
              <w:pStyle w:val="TableContents"/>
              <w:bidi w:val="0"/>
              <w:spacing w:before="0" w:after="283"/>
              <w:jc w:val="left"/>
              <w:rPr/>
            </w:pPr>
            <w:r>
              <w:rPr/>
              <w:t>Runtime must pause and request human approval before execution</w:t>
            </w:r>
          </w:p>
        </w:tc>
      </w:tr>
    </w:tbl>
    <w:p>
      <w:pPr>
        <w:pStyle w:val="BodyText"/>
        <w:bidi w:val="0"/>
        <w:jc w:val="left"/>
        <w:rPr/>
      </w:pPr>
      <w:r>
        <w:rPr/>
        <w:t xml:space="preserve">The runtime </w:t>
      </w:r>
      <w:r>
        <w:rPr>
          <w:rStyle w:val="SourceText"/>
        </w:rPr>
        <w:t>MAY</w:t>
      </w:r>
      <w:r>
        <w:rPr/>
        <w:t xml:space="preserve"> define more granular subclasses, but it </w:t>
      </w:r>
      <w:r>
        <w:rPr>
          <w:rStyle w:val="SourceText"/>
        </w:rPr>
        <w:t>MUST NOT</w:t>
      </w:r>
      <w:r>
        <w:rPr/>
        <w:t xml:space="preserve"> weaken the semantics of </w:t>
      </w:r>
      <w:r>
        <w:rPr>
          <w:rStyle w:val="SourceText"/>
        </w:rPr>
        <w:t>proposal</w:t>
      </w:r>
      <w:r>
        <w:rPr/>
        <w:t>.</w:t>
      </w:r>
    </w:p>
    <w:p>
      <w:pPr>
        <w:pStyle w:val="Heading3"/>
        <w:bidi w:val="0"/>
        <w:jc w:val="left"/>
        <w:rPr/>
      </w:pPr>
      <w:r>
        <w:rPr/>
        <w:t>8.3 Proposal Requirements</w:t>
      </w:r>
    </w:p>
    <w:p>
      <w:pPr>
        <w:pStyle w:val="BodyText"/>
        <w:bidi w:val="0"/>
        <w:jc w:val="left"/>
        <w:rPr/>
      </w:pPr>
      <w:r>
        <w:rPr/>
        <w:t xml:space="preserve">For </w:t>
      </w:r>
      <w:r>
        <w:rPr>
          <w:rStyle w:val="SourceText"/>
        </w:rPr>
        <w:t>proposal</w:t>
      </w:r>
      <w:r>
        <w:rPr/>
        <w:t xml:space="preserve"> actions, the runtime </w:t>
      </w:r>
      <w:r>
        <w:rPr>
          <w:rStyle w:val="SourceText"/>
        </w:rPr>
        <w:t>MUST</w:t>
      </w:r>
      <w:r>
        <w:rPr/>
        <w:t xml:space="preserve"> present:</w:t>
      </w:r>
    </w:p>
    <w:p>
      <w:pPr>
        <w:pStyle w:val="BodyText"/>
        <w:numPr>
          <w:ilvl w:val="0"/>
          <w:numId w:val="34"/>
        </w:numPr>
        <w:tabs>
          <w:tab w:val="clear" w:pos="1134"/>
          <w:tab w:val="left" w:pos="709" w:leader="none"/>
        </w:tabs>
        <w:bidi w:val="0"/>
        <w:spacing w:before="0" w:after="0"/>
        <w:ind w:hanging="283" w:left="709"/>
        <w:jc w:val="left"/>
        <w:rPr/>
      </w:pPr>
      <w:r>
        <w:rPr/>
        <w:t xml:space="preserve">the tool or action requested </w:t>
      </w:r>
    </w:p>
    <w:p>
      <w:pPr>
        <w:pStyle w:val="BodyText"/>
        <w:numPr>
          <w:ilvl w:val="0"/>
          <w:numId w:val="34"/>
        </w:numPr>
        <w:tabs>
          <w:tab w:val="clear" w:pos="1134"/>
          <w:tab w:val="left" w:pos="709" w:leader="none"/>
        </w:tabs>
        <w:bidi w:val="0"/>
        <w:spacing w:before="0" w:after="0"/>
        <w:ind w:hanging="283" w:left="709"/>
        <w:jc w:val="left"/>
        <w:rPr/>
      </w:pPr>
      <w:r>
        <w:rPr/>
        <w:t xml:space="preserve">the structured parameters </w:t>
      </w:r>
    </w:p>
    <w:p>
      <w:pPr>
        <w:pStyle w:val="BodyText"/>
        <w:numPr>
          <w:ilvl w:val="0"/>
          <w:numId w:val="34"/>
        </w:numPr>
        <w:tabs>
          <w:tab w:val="clear" w:pos="1134"/>
          <w:tab w:val="left" w:pos="709" w:leader="none"/>
        </w:tabs>
        <w:bidi w:val="0"/>
        <w:spacing w:before="0" w:after="0"/>
        <w:ind w:hanging="283" w:left="709"/>
        <w:jc w:val="left"/>
        <w:rPr/>
      </w:pPr>
      <w:r>
        <w:rPr/>
        <w:t xml:space="preserve">the principal or authority context </w:t>
      </w:r>
    </w:p>
    <w:p>
      <w:pPr>
        <w:pStyle w:val="BodyText"/>
        <w:numPr>
          <w:ilvl w:val="0"/>
          <w:numId w:val="34"/>
        </w:numPr>
        <w:tabs>
          <w:tab w:val="clear" w:pos="1134"/>
          <w:tab w:val="left" w:pos="709" w:leader="none"/>
        </w:tabs>
        <w:bidi w:val="0"/>
        <w:ind w:hanging="283" w:left="709"/>
        <w:jc w:val="left"/>
        <w:rPr/>
      </w:pPr>
      <w:r>
        <w:rPr/>
        <w:t xml:space="preserve">enough explanation for a human reviewer to make an informed decision </w:t>
      </w:r>
    </w:p>
    <w:p>
      <w:pPr>
        <w:pStyle w:val="BodyText"/>
        <w:bidi w:val="0"/>
        <w:jc w:val="left"/>
        <w:rPr/>
      </w:pPr>
      <w:r>
        <w:rPr/>
        <w:t xml:space="preserve">The runtime </w:t>
      </w:r>
      <w:r>
        <w:rPr>
          <w:rStyle w:val="SourceText"/>
        </w:rPr>
        <w:t>MUST</w:t>
      </w:r>
      <w:r>
        <w:rPr/>
        <w:t xml:space="preserve"> record whether the proposal was:</w:t>
      </w:r>
    </w:p>
    <w:p>
      <w:pPr>
        <w:pStyle w:val="BodyText"/>
        <w:numPr>
          <w:ilvl w:val="0"/>
          <w:numId w:val="35"/>
        </w:numPr>
        <w:tabs>
          <w:tab w:val="clear" w:pos="1134"/>
          <w:tab w:val="left" w:pos="709" w:leader="none"/>
        </w:tabs>
        <w:bidi w:val="0"/>
        <w:spacing w:before="0" w:after="0"/>
        <w:ind w:hanging="283" w:left="709"/>
        <w:jc w:val="left"/>
        <w:rPr/>
      </w:pPr>
      <w:r>
        <w:rPr/>
        <w:t xml:space="preserve">approved </w:t>
      </w:r>
    </w:p>
    <w:p>
      <w:pPr>
        <w:pStyle w:val="BodyText"/>
        <w:numPr>
          <w:ilvl w:val="0"/>
          <w:numId w:val="35"/>
        </w:numPr>
        <w:tabs>
          <w:tab w:val="clear" w:pos="1134"/>
          <w:tab w:val="left" w:pos="709" w:leader="none"/>
        </w:tabs>
        <w:bidi w:val="0"/>
        <w:spacing w:before="0" w:after="0"/>
        <w:ind w:hanging="283" w:left="709"/>
        <w:jc w:val="left"/>
        <w:rPr/>
      </w:pPr>
      <w:r>
        <w:rPr/>
        <w:t xml:space="preserve">rejected </w:t>
      </w:r>
    </w:p>
    <w:p>
      <w:pPr>
        <w:pStyle w:val="BodyText"/>
        <w:numPr>
          <w:ilvl w:val="0"/>
          <w:numId w:val="35"/>
        </w:numPr>
        <w:tabs>
          <w:tab w:val="clear" w:pos="1134"/>
          <w:tab w:val="left" w:pos="709" w:leader="none"/>
        </w:tabs>
        <w:bidi w:val="0"/>
        <w:spacing w:before="0" w:after="0"/>
        <w:ind w:hanging="283" w:left="709"/>
        <w:jc w:val="left"/>
        <w:rPr/>
      </w:pPr>
      <w:r>
        <w:rPr/>
        <w:t xml:space="preserve">expired </w:t>
      </w:r>
    </w:p>
    <w:p>
      <w:pPr>
        <w:pStyle w:val="BodyText"/>
        <w:numPr>
          <w:ilvl w:val="0"/>
          <w:numId w:val="35"/>
        </w:numPr>
        <w:tabs>
          <w:tab w:val="clear" w:pos="1134"/>
          <w:tab w:val="left" w:pos="709" w:leader="none"/>
        </w:tabs>
        <w:bidi w:val="0"/>
        <w:ind w:hanging="283" w:left="709"/>
        <w:jc w:val="left"/>
        <w:rPr/>
      </w:pPr>
      <w:r>
        <w:rPr/>
        <w:t xml:space="preserve">superseded </w:t>
      </w:r>
    </w:p>
    <w:p>
      <w:pPr>
        <w:pStyle w:val="Heading3"/>
        <w:bidi w:val="0"/>
        <w:jc w:val="left"/>
        <w:rPr/>
      </w:pPr>
      <w:r>
        <w:rPr/>
        <w:t>8.4 Default Safety Rule</w:t>
      </w:r>
    </w:p>
    <w:p>
      <w:pPr>
        <w:pStyle w:val="BodyText"/>
        <w:bidi w:val="0"/>
        <w:jc w:val="left"/>
        <w:rPr/>
      </w:pPr>
      <w:r>
        <w:rPr/>
        <w:t>If a tool:</w:t>
      </w:r>
    </w:p>
    <w:p>
      <w:pPr>
        <w:pStyle w:val="BodyText"/>
        <w:numPr>
          <w:ilvl w:val="0"/>
          <w:numId w:val="36"/>
        </w:numPr>
        <w:tabs>
          <w:tab w:val="clear" w:pos="1134"/>
          <w:tab w:val="left" w:pos="709" w:leader="none"/>
        </w:tabs>
        <w:bidi w:val="0"/>
        <w:spacing w:before="0" w:after="0"/>
        <w:ind w:hanging="283" w:left="709"/>
        <w:jc w:val="left"/>
        <w:rPr/>
      </w:pPr>
      <w:r>
        <w:rPr/>
        <w:t xml:space="preserve">modifies state </w:t>
      </w:r>
    </w:p>
    <w:p>
      <w:pPr>
        <w:pStyle w:val="BodyText"/>
        <w:numPr>
          <w:ilvl w:val="0"/>
          <w:numId w:val="36"/>
        </w:numPr>
        <w:tabs>
          <w:tab w:val="clear" w:pos="1134"/>
          <w:tab w:val="left" w:pos="709" w:leader="none"/>
        </w:tabs>
        <w:bidi w:val="0"/>
        <w:spacing w:before="0" w:after="0"/>
        <w:ind w:hanging="283" w:left="709"/>
        <w:jc w:val="left"/>
        <w:rPr/>
      </w:pPr>
      <w:r>
        <w:rPr/>
        <w:t xml:space="preserve">affects production systems </w:t>
      </w:r>
    </w:p>
    <w:p>
      <w:pPr>
        <w:pStyle w:val="BodyText"/>
        <w:numPr>
          <w:ilvl w:val="0"/>
          <w:numId w:val="36"/>
        </w:numPr>
        <w:tabs>
          <w:tab w:val="clear" w:pos="1134"/>
          <w:tab w:val="left" w:pos="709" w:leader="none"/>
        </w:tabs>
        <w:bidi w:val="0"/>
        <w:spacing w:before="0" w:after="0"/>
        <w:ind w:hanging="283" w:left="709"/>
        <w:jc w:val="left"/>
        <w:rPr/>
      </w:pPr>
      <w:r>
        <w:rPr/>
        <w:t xml:space="preserve">changes identity or authorization </w:t>
      </w:r>
    </w:p>
    <w:p>
      <w:pPr>
        <w:pStyle w:val="BodyText"/>
        <w:numPr>
          <w:ilvl w:val="0"/>
          <w:numId w:val="36"/>
        </w:numPr>
        <w:tabs>
          <w:tab w:val="clear" w:pos="1134"/>
          <w:tab w:val="left" w:pos="709" w:leader="none"/>
        </w:tabs>
        <w:bidi w:val="0"/>
        <w:spacing w:before="0" w:after="0"/>
        <w:ind w:hanging="283" w:left="709"/>
        <w:jc w:val="left"/>
        <w:rPr/>
      </w:pPr>
      <w:r>
        <w:rPr/>
        <w:t xml:space="preserve">creates or deletes records </w:t>
      </w:r>
    </w:p>
    <w:p>
      <w:pPr>
        <w:pStyle w:val="BodyText"/>
        <w:numPr>
          <w:ilvl w:val="0"/>
          <w:numId w:val="36"/>
        </w:numPr>
        <w:tabs>
          <w:tab w:val="clear" w:pos="1134"/>
          <w:tab w:val="left" w:pos="709" w:leader="none"/>
        </w:tabs>
        <w:bidi w:val="0"/>
        <w:spacing w:before="0" w:after="0"/>
        <w:ind w:hanging="283" w:left="709"/>
        <w:jc w:val="left"/>
        <w:rPr/>
      </w:pPr>
      <w:r>
        <w:rPr/>
        <w:t xml:space="preserve">publishes or deploys </w:t>
      </w:r>
    </w:p>
    <w:p>
      <w:pPr>
        <w:pStyle w:val="BodyText"/>
        <w:numPr>
          <w:ilvl w:val="0"/>
          <w:numId w:val="36"/>
        </w:numPr>
        <w:tabs>
          <w:tab w:val="clear" w:pos="1134"/>
          <w:tab w:val="left" w:pos="709" w:leader="none"/>
        </w:tabs>
        <w:bidi w:val="0"/>
        <w:ind w:hanging="283" w:left="709"/>
        <w:jc w:val="left"/>
        <w:rPr/>
      </w:pPr>
      <w:r>
        <w:rPr/>
        <w:t xml:space="preserve">reaches across an organizational boundary with consequences </w:t>
      </w:r>
    </w:p>
    <w:p>
      <w:pPr>
        <w:pStyle w:val="BodyText"/>
        <w:bidi w:val="0"/>
        <w:jc w:val="left"/>
        <w:rPr/>
      </w:pPr>
      <w:r>
        <w:rPr/>
        <w:t xml:space="preserve">then the runtime </w:t>
      </w:r>
      <w:r>
        <w:rPr>
          <w:rStyle w:val="SourceText"/>
        </w:rPr>
        <w:t>MUST</w:t>
      </w:r>
      <w:r>
        <w:rPr/>
        <w:t xml:space="preserve"> default that tool to </w:t>
      </w:r>
      <w:r>
        <w:rPr>
          <w:rStyle w:val="SourceText"/>
        </w:rPr>
        <w:t>proposal</w:t>
      </w:r>
      <w:r>
        <w:rPr/>
        <w:t xml:space="preserve"> unless a higher-assurance policy explicitly permits immediate execution.</w:t>
      </w:r>
    </w:p>
    <w:p>
      <w:pPr>
        <w:pStyle w:val="Heading4"/>
        <w:bidi w:val="0"/>
        <w:jc w:val="left"/>
        <w:rPr/>
      </w:pPr>
      <w:r>
        <w:rPr/>
        <w:t>8.4.1 Derived Classification, Not an Enumerated Allowlist</w:t>
      </w:r>
    </w:p>
    <w:p>
      <w:pPr>
        <w:pStyle w:val="BodyText"/>
        <w:bidi w:val="0"/>
        <w:jc w:val="left"/>
        <w:rPr/>
      </w:pPr>
      <w:r>
        <w:rPr/>
        <w:t>The default in §8.4 is only real if the runtime can determine, for an arbitrary tool, whether the rule applies. A conforming implementation:</w:t>
      </w:r>
    </w:p>
    <w:p>
      <w:pPr>
        <w:pStyle w:val="BodyText"/>
        <w:numPr>
          <w:ilvl w:val="0"/>
          <w:numId w:val="37"/>
        </w:numPr>
        <w:tabs>
          <w:tab w:val="clear" w:pos="1134"/>
          <w:tab w:val="left" w:pos="709" w:leader="none"/>
        </w:tabs>
        <w:bidi w:val="0"/>
        <w:spacing w:before="0" w:after="0"/>
        <w:ind w:hanging="283" w:left="709"/>
        <w:jc w:val="left"/>
        <w:rPr/>
      </w:pPr>
      <w:r>
        <w:rPr>
          <w:rStyle w:val="SourceText"/>
        </w:rPr>
        <w:t>MUST</w:t>
      </w:r>
      <w:r>
        <w:rPr/>
        <w:t xml:space="preserve"> derive the set of gated tools from the per-tool consequence class declared under §8.1 </w:t>
      </w:r>
    </w:p>
    <w:p>
      <w:pPr>
        <w:pStyle w:val="BodyText"/>
        <w:numPr>
          <w:ilvl w:val="0"/>
          <w:numId w:val="37"/>
        </w:numPr>
        <w:tabs>
          <w:tab w:val="clear" w:pos="1134"/>
          <w:tab w:val="left" w:pos="709" w:leader="none"/>
        </w:tabs>
        <w:bidi w:val="0"/>
        <w:spacing w:before="0" w:after="0"/>
        <w:ind w:hanging="283" w:left="709"/>
        <w:jc w:val="left"/>
        <w:rPr/>
      </w:pPr>
      <w:r>
        <w:rPr>
          <w:rStyle w:val="SourceText"/>
        </w:rPr>
        <w:t>MUST NOT</w:t>
      </w:r>
      <w:r>
        <w:rPr/>
        <w:t xml:space="preserve"> implement the gated set as a hand-maintained enumeration of tool names </w:t>
      </w:r>
    </w:p>
    <w:p>
      <w:pPr>
        <w:pStyle w:val="BodyText"/>
        <w:numPr>
          <w:ilvl w:val="0"/>
          <w:numId w:val="37"/>
        </w:numPr>
        <w:tabs>
          <w:tab w:val="clear" w:pos="1134"/>
          <w:tab w:val="left" w:pos="709" w:leader="none"/>
        </w:tabs>
        <w:bidi w:val="0"/>
        <w:spacing w:before="0" w:after="0"/>
        <w:ind w:hanging="283" w:left="709"/>
        <w:jc w:val="left"/>
        <w:rPr/>
      </w:pPr>
      <w:r>
        <w:rPr>
          <w:rStyle w:val="SourceText"/>
        </w:rPr>
        <w:t>MUST</w:t>
      </w:r>
      <w:r>
        <w:rPr/>
        <w:t xml:space="preserve"> treat an undeclared side-effecting tool as consequential, so that omission fails closed </w:t>
      </w:r>
    </w:p>
    <w:p>
      <w:pPr>
        <w:pStyle w:val="BodyText"/>
        <w:numPr>
          <w:ilvl w:val="0"/>
          <w:numId w:val="37"/>
        </w:numPr>
        <w:tabs>
          <w:tab w:val="clear" w:pos="1134"/>
          <w:tab w:val="left" w:pos="709" w:leader="none"/>
        </w:tabs>
        <w:bidi w:val="0"/>
        <w:ind w:hanging="283" w:left="709"/>
        <w:jc w:val="left"/>
        <w:rPr/>
      </w:pPr>
      <w:r>
        <w:rPr>
          <w:rStyle w:val="SourceText"/>
        </w:rPr>
        <w:t>SHOULD</w:t>
      </w:r>
      <w:r>
        <w:rPr/>
        <w:t xml:space="preserve"> fail its own build or conformance run when a side-effecting tool carries no consequence class </w:t>
      </w:r>
    </w:p>
    <w:p>
      <w:pPr>
        <w:pStyle w:val="BodyText"/>
        <w:bidi w:val="0"/>
        <w:jc w:val="left"/>
        <w:rPr/>
      </w:pPr>
      <w:r>
        <w:rPr>
          <w:rStyle w:val="Strong"/>
        </w:rPr>
        <w:t>Normative anti-pattern.</w:t>
      </w:r>
      <w:r>
        <w:rPr/>
        <w:t xml:space="preserve"> A hand-maintained opt-in list of gated tools inverts §8.4: every tool not on the list is silently treated as ordinary, and the list does not grow as the tool surface grows. The resulting posture is indistinguishable, at runtime, from having no gate — the gate exists, is correctly implemented, is enforce-by-default, and governs almost nothing. This pattern is called out explicitly because it is a demonstrated real-implementation failure, not a theoretical one, and because it is invisible to every test that asks whether the gate works rather than what it covers.</w:t>
      </w:r>
    </w:p>
    <w:p>
      <w:pPr>
        <w:pStyle w:val="Heading4"/>
        <w:bidi w:val="0"/>
        <w:jc w:val="left"/>
        <w:rPr/>
      </w:pPr>
      <w:r>
        <w:rPr/>
        <w:t>8.4.2 Gate Coverage Is a Governed Metric</w:t>
      </w:r>
    </w:p>
    <w:p>
      <w:pPr>
        <w:pStyle w:val="BodyText"/>
        <w:bidi w:val="0"/>
        <w:jc w:val="left"/>
        <w:rPr/>
      </w:pPr>
      <w:r>
        <w:rPr/>
        <w:t>Because the risk lives in the gate's reach rather than its correctness, a conforming implementation:</w:t>
      </w:r>
    </w:p>
    <w:p>
      <w:pPr>
        <w:pStyle w:val="BodyText"/>
        <w:numPr>
          <w:ilvl w:val="0"/>
          <w:numId w:val="38"/>
        </w:numPr>
        <w:tabs>
          <w:tab w:val="clear" w:pos="1134"/>
          <w:tab w:val="left" w:pos="709" w:leader="none"/>
        </w:tabs>
        <w:bidi w:val="0"/>
        <w:spacing w:before="0" w:after="0"/>
        <w:ind w:hanging="283" w:left="709"/>
        <w:jc w:val="left"/>
        <w:rPr/>
      </w:pPr>
      <w:r>
        <w:rPr>
          <w:rStyle w:val="SourceText"/>
        </w:rPr>
        <w:t>MUST</w:t>
      </w:r>
      <w:r>
        <w:rPr/>
        <w:t xml:space="preserve"> be able to report gate coverage — the proportion of side-effecting tools carrying a consequence class, and the proportion of consequential tools actually gated </w:t>
      </w:r>
    </w:p>
    <w:p>
      <w:pPr>
        <w:pStyle w:val="BodyText"/>
        <w:numPr>
          <w:ilvl w:val="0"/>
          <w:numId w:val="38"/>
        </w:numPr>
        <w:tabs>
          <w:tab w:val="clear" w:pos="1134"/>
          <w:tab w:val="left" w:pos="709" w:leader="none"/>
        </w:tabs>
        <w:bidi w:val="0"/>
        <w:spacing w:before="0" w:after="0"/>
        <w:ind w:hanging="283" w:left="709"/>
        <w:jc w:val="left"/>
        <w:rPr/>
      </w:pPr>
      <w:r>
        <w:rPr>
          <w:rStyle w:val="SourceText"/>
        </w:rPr>
        <w:t>SHOULD</w:t>
      </w:r>
      <w:r>
        <w:rPr/>
        <w:t xml:space="preserve"> report coverage per agent, over the tools that agent's authority can reach, since a platform-wide average conceals an individual agent with broad reach and no gating </w:t>
      </w:r>
    </w:p>
    <w:p>
      <w:pPr>
        <w:pStyle w:val="BodyText"/>
        <w:numPr>
          <w:ilvl w:val="0"/>
          <w:numId w:val="38"/>
        </w:numPr>
        <w:tabs>
          <w:tab w:val="clear" w:pos="1134"/>
          <w:tab w:val="left" w:pos="709" w:leader="none"/>
        </w:tabs>
        <w:bidi w:val="0"/>
        <w:ind w:hanging="283" w:left="709"/>
        <w:jc w:val="left"/>
        <w:rPr/>
      </w:pPr>
      <w:r>
        <w:rPr>
          <w:rStyle w:val="SourceText"/>
        </w:rPr>
        <w:t>SHOULD</w:t>
      </w:r>
      <w:r>
        <w:rPr/>
        <w:t xml:space="preserve"> surface coverage wherever autonomy is configured, so the operator raising an autonomy level can see what that level is bounded by </w:t>
      </w:r>
    </w:p>
    <w:p>
      <w:pPr>
        <w:pStyle w:val="Heading3"/>
        <w:bidi w:val="0"/>
        <w:jc w:val="left"/>
        <w:rPr/>
      </w:pPr>
      <w:r>
        <w:rPr/>
        <w:t>8.5 Provider Budgets and Backpressure</w:t>
      </w:r>
    </w:p>
    <w:p>
      <w:pPr>
        <w:pStyle w:val="BodyText"/>
        <w:bidi w:val="0"/>
        <w:jc w:val="left"/>
        <w:rPr/>
      </w:pPr>
      <w:r>
        <w:rPr/>
        <w:t xml:space="preserve">A conforming runtime </w:t>
      </w:r>
      <w:r>
        <w:rPr>
          <w:rStyle w:val="SourceText"/>
        </w:rPr>
        <w:t>MUST</w:t>
      </w:r>
      <w:r>
        <w:rPr/>
        <w:t xml:space="preserve"> implement provider-aware rate budgeting and backpressure for any provider, model, or upstream inference service that can impose:</w:t>
      </w:r>
    </w:p>
    <w:p>
      <w:pPr>
        <w:pStyle w:val="BodyText"/>
        <w:numPr>
          <w:ilvl w:val="0"/>
          <w:numId w:val="39"/>
        </w:numPr>
        <w:tabs>
          <w:tab w:val="clear" w:pos="1134"/>
          <w:tab w:val="left" w:pos="709" w:leader="none"/>
        </w:tabs>
        <w:bidi w:val="0"/>
        <w:spacing w:before="0" w:after="0"/>
        <w:ind w:hanging="283" w:left="709"/>
        <w:jc w:val="left"/>
        <w:rPr/>
      </w:pPr>
      <w:r>
        <w:rPr/>
        <w:t xml:space="preserve">request-rate limits </w:t>
      </w:r>
    </w:p>
    <w:p>
      <w:pPr>
        <w:pStyle w:val="BodyText"/>
        <w:numPr>
          <w:ilvl w:val="0"/>
          <w:numId w:val="39"/>
        </w:numPr>
        <w:tabs>
          <w:tab w:val="clear" w:pos="1134"/>
          <w:tab w:val="left" w:pos="709" w:leader="none"/>
        </w:tabs>
        <w:bidi w:val="0"/>
        <w:spacing w:before="0" w:after="0"/>
        <w:ind w:hanging="283" w:left="709"/>
        <w:jc w:val="left"/>
        <w:rPr/>
      </w:pPr>
      <w:r>
        <w:rPr/>
        <w:t xml:space="preserve">concurrency limits </w:t>
      </w:r>
    </w:p>
    <w:p>
      <w:pPr>
        <w:pStyle w:val="BodyText"/>
        <w:numPr>
          <w:ilvl w:val="0"/>
          <w:numId w:val="39"/>
        </w:numPr>
        <w:tabs>
          <w:tab w:val="clear" w:pos="1134"/>
          <w:tab w:val="left" w:pos="709" w:leader="none"/>
        </w:tabs>
        <w:bidi w:val="0"/>
        <w:spacing w:before="0" w:after="0"/>
        <w:ind w:hanging="283" w:left="709"/>
        <w:jc w:val="left"/>
        <w:rPr/>
      </w:pPr>
      <w:r>
        <w:rPr/>
        <w:t xml:space="preserve">token-throughput or context limits </w:t>
      </w:r>
    </w:p>
    <w:p>
      <w:pPr>
        <w:pStyle w:val="BodyText"/>
        <w:numPr>
          <w:ilvl w:val="0"/>
          <w:numId w:val="39"/>
        </w:numPr>
        <w:tabs>
          <w:tab w:val="clear" w:pos="1134"/>
          <w:tab w:val="left" w:pos="709" w:leader="none"/>
        </w:tabs>
        <w:bidi w:val="0"/>
        <w:spacing w:before="0" w:after="0"/>
        <w:ind w:hanging="283" w:left="709"/>
        <w:jc w:val="left"/>
        <w:rPr/>
      </w:pPr>
      <w:r>
        <w:rPr/>
        <w:t xml:space="preserve">quota exhaustion </w:t>
      </w:r>
    </w:p>
    <w:p>
      <w:pPr>
        <w:pStyle w:val="BodyText"/>
        <w:numPr>
          <w:ilvl w:val="0"/>
          <w:numId w:val="39"/>
        </w:numPr>
        <w:tabs>
          <w:tab w:val="clear" w:pos="1134"/>
          <w:tab w:val="left" w:pos="709" w:leader="none"/>
        </w:tabs>
        <w:bidi w:val="0"/>
        <w:spacing w:before="0" w:after="0"/>
        <w:ind w:hanging="283" w:left="709"/>
        <w:jc w:val="left"/>
        <w:rPr/>
      </w:pPr>
      <w:r>
        <w:rPr/>
        <w:t xml:space="preserve">usage-credit or funding-token exhaustion </w:t>
      </w:r>
    </w:p>
    <w:p>
      <w:pPr>
        <w:pStyle w:val="BodyText"/>
        <w:numPr>
          <w:ilvl w:val="0"/>
          <w:numId w:val="39"/>
        </w:numPr>
        <w:tabs>
          <w:tab w:val="clear" w:pos="1134"/>
          <w:tab w:val="left" w:pos="709" w:leader="none"/>
        </w:tabs>
        <w:bidi w:val="0"/>
        <w:ind w:hanging="283" w:left="709"/>
        <w:jc w:val="left"/>
        <w:rPr/>
      </w:pPr>
      <w:r>
        <w:rPr/>
        <w:t xml:space="preserve">contractual or policy ceilings </w:t>
      </w:r>
    </w:p>
    <w:p>
      <w:pPr>
        <w:pStyle w:val="BodyText"/>
        <w:bidi w:val="0"/>
        <w:jc w:val="left"/>
        <w:rPr/>
      </w:pPr>
      <w:r>
        <w:rPr/>
        <w:t>These limits are runtime-governance signals, not merely application exceptions.</w:t>
      </w:r>
    </w:p>
    <w:p>
      <w:pPr>
        <w:pStyle w:val="BodyText"/>
        <w:bidi w:val="0"/>
        <w:jc w:val="left"/>
        <w:rPr/>
      </w:pPr>
      <w:r>
        <w:rPr/>
        <w:t xml:space="preserve">Predictive backpressure is often inferred rather than explicitly published by providers. A conforming runtime </w:t>
      </w:r>
      <w:r>
        <w:rPr>
          <w:rStyle w:val="SourceText"/>
        </w:rPr>
        <w:t>MAY</w:t>
      </w:r>
      <w:r>
        <w:rPr/>
        <w:t xml:space="preserve"> derive predictive state from recent </w:t>
      </w:r>
      <w:r>
        <w:rPr>
          <w:rStyle w:val="SourceText"/>
        </w:rPr>
        <w:t>429</w:t>
      </w:r>
      <w:r>
        <w:rPr/>
        <w:t xml:space="preserve"> behavior, </w:t>
      </w:r>
      <w:r>
        <w:rPr>
          <w:rStyle w:val="SourceText"/>
        </w:rPr>
        <w:t>Retry-After</w:t>
      </w:r>
      <w:r>
        <w:rPr/>
        <w:t xml:space="preserve"> hints, token-usage headers, contract ceilings, or observed admission patterns where direct provider telemetry is incomplete.</w:t>
      </w:r>
    </w:p>
    <w:p>
      <w:pPr>
        <w:pStyle w:val="BodyText"/>
        <w:bidi w:val="0"/>
        <w:jc w:val="left"/>
        <w:rPr/>
      </w:pPr>
      <w:r>
        <w:rPr/>
        <w:t xml:space="preserve">The runtime </w:t>
      </w:r>
      <w:r>
        <w:rPr>
          <w:rStyle w:val="SourceText"/>
        </w:rPr>
        <w:t>MUST</w:t>
      </w:r>
      <w:r>
        <w:rPr/>
        <w:t>:</w:t>
      </w:r>
    </w:p>
    <w:p>
      <w:pPr>
        <w:pStyle w:val="BodyText"/>
        <w:numPr>
          <w:ilvl w:val="0"/>
          <w:numId w:val="40"/>
        </w:numPr>
        <w:tabs>
          <w:tab w:val="clear" w:pos="1134"/>
          <w:tab w:val="left" w:pos="709" w:leader="none"/>
        </w:tabs>
        <w:bidi w:val="0"/>
        <w:spacing w:before="0" w:after="0"/>
        <w:ind w:hanging="283" w:left="709"/>
        <w:jc w:val="left"/>
        <w:rPr/>
      </w:pPr>
      <w:r>
        <w:rPr/>
        <w:t xml:space="preserve">maintain a governed representation of provider budget state </w:t>
      </w:r>
    </w:p>
    <w:p>
      <w:pPr>
        <w:pStyle w:val="BodyText"/>
        <w:numPr>
          <w:ilvl w:val="0"/>
          <w:numId w:val="40"/>
        </w:numPr>
        <w:tabs>
          <w:tab w:val="clear" w:pos="1134"/>
          <w:tab w:val="left" w:pos="709" w:leader="none"/>
        </w:tabs>
        <w:bidi w:val="0"/>
        <w:spacing w:before="0" w:after="0"/>
        <w:ind w:hanging="283" w:left="709"/>
        <w:jc w:val="left"/>
        <w:rPr/>
      </w:pPr>
      <w:r>
        <w:rPr/>
        <w:t xml:space="preserve">apply backpressure before provider limits are violated where predictive signals are available </w:t>
      </w:r>
    </w:p>
    <w:p>
      <w:pPr>
        <w:pStyle w:val="BodyText"/>
        <w:numPr>
          <w:ilvl w:val="0"/>
          <w:numId w:val="40"/>
        </w:numPr>
        <w:tabs>
          <w:tab w:val="clear" w:pos="1134"/>
          <w:tab w:val="left" w:pos="709" w:leader="none"/>
        </w:tabs>
        <w:bidi w:val="0"/>
        <w:spacing w:before="0" w:after="0"/>
        <w:ind w:hanging="283" w:left="709"/>
        <w:jc w:val="left"/>
        <w:rPr/>
      </w:pPr>
      <w:r>
        <w:rPr/>
        <w:t xml:space="preserve">surface blocking or degraded capacity in both machine-readable and human-consumable form </w:t>
      </w:r>
    </w:p>
    <w:p>
      <w:pPr>
        <w:pStyle w:val="BodyText"/>
        <w:numPr>
          <w:ilvl w:val="0"/>
          <w:numId w:val="40"/>
        </w:numPr>
        <w:tabs>
          <w:tab w:val="clear" w:pos="1134"/>
          <w:tab w:val="left" w:pos="709" w:leader="none"/>
        </w:tabs>
        <w:bidi w:val="0"/>
        <w:ind w:hanging="283" w:left="709"/>
        <w:jc w:val="left"/>
        <w:rPr/>
      </w:pPr>
      <w:r>
        <w:rPr/>
        <w:t xml:space="preserve">avoid presenting provider-specific failures as unexplained or opaque application errors </w:t>
      </w:r>
    </w:p>
    <w:p>
      <w:pPr>
        <w:pStyle w:val="Heading3"/>
        <w:bidi w:val="0"/>
        <w:jc w:val="left"/>
        <w:rPr/>
      </w:pPr>
      <w:r>
        <w:rPr/>
        <w:t>8.6 Dependency Drift and Revalidation</w:t>
      </w:r>
    </w:p>
    <w:p>
      <w:pPr>
        <w:pStyle w:val="BodyText"/>
        <w:bidi w:val="0"/>
        <w:jc w:val="left"/>
        <w:rPr/>
      </w:pPr>
      <w:r>
        <w:rPr/>
        <w:t xml:space="preserve">The runtime </w:t>
      </w:r>
      <w:r>
        <w:rPr>
          <w:rStyle w:val="SourceText"/>
        </w:rPr>
        <w:t>MUST</w:t>
      </w:r>
      <w:r>
        <w:rPr/>
        <w:t xml:space="preserve"> recognize that material drift can originate from dependencies as well as from deliberate local configuration edits.</w:t>
      </w:r>
    </w:p>
    <w:p>
      <w:pPr>
        <w:pStyle w:val="BodyText"/>
        <w:bidi w:val="0"/>
        <w:jc w:val="left"/>
        <w:rPr/>
      </w:pPr>
      <w:r>
        <w:rPr/>
        <w:t>Examples include:</w:t>
      </w:r>
    </w:p>
    <w:p>
      <w:pPr>
        <w:pStyle w:val="BodyText"/>
        <w:numPr>
          <w:ilvl w:val="0"/>
          <w:numId w:val="41"/>
        </w:numPr>
        <w:tabs>
          <w:tab w:val="clear" w:pos="1134"/>
          <w:tab w:val="left" w:pos="709" w:leader="none"/>
        </w:tabs>
        <w:bidi w:val="0"/>
        <w:spacing w:before="0" w:after="0"/>
        <w:ind w:hanging="283" w:left="709"/>
        <w:jc w:val="left"/>
        <w:rPr/>
      </w:pPr>
      <w:r>
        <w:rPr/>
        <w:t xml:space="preserve">provider-side model behavior changes </w:t>
      </w:r>
    </w:p>
    <w:p>
      <w:pPr>
        <w:pStyle w:val="BodyText"/>
        <w:numPr>
          <w:ilvl w:val="0"/>
          <w:numId w:val="41"/>
        </w:numPr>
        <w:tabs>
          <w:tab w:val="clear" w:pos="1134"/>
          <w:tab w:val="left" w:pos="709" w:leader="none"/>
        </w:tabs>
        <w:bidi w:val="0"/>
        <w:spacing w:before="0" w:after="0"/>
        <w:ind w:hanging="283" w:left="709"/>
        <w:jc w:val="left"/>
        <w:rPr/>
      </w:pPr>
      <w:r>
        <w:rPr/>
        <w:t xml:space="preserve">safety or moderation behavior changes </w:t>
      </w:r>
    </w:p>
    <w:p>
      <w:pPr>
        <w:pStyle w:val="BodyText"/>
        <w:numPr>
          <w:ilvl w:val="0"/>
          <w:numId w:val="41"/>
        </w:numPr>
        <w:tabs>
          <w:tab w:val="clear" w:pos="1134"/>
          <w:tab w:val="left" w:pos="709" w:leader="none"/>
        </w:tabs>
        <w:bidi w:val="0"/>
        <w:spacing w:before="0" w:after="0"/>
        <w:ind w:hanging="283" w:left="709"/>
        <w:jc w:val="left"/>
        <w:rPr/>
      </w:pPr>
      <w:r>
        <w:rPr/>
        <w:t xml:space="preserve">undocumented capability changes under the same marketed model label </w:t>
      </w:r>
    </w:p>
    <w:p>
      <w:pPr>
        <w:pStyle w:val="BodyText"/>
        <w:numPr>
          <w:ilvl w:val="0"/>
          <w:numId w:val="41"/>
        </w:numPr>
        <w:tabs>
          <w:tab w:val="clear" w:pos="1134"/>
          <w:tab w:val="left" w:pos="709" w:leader="none"/>
        </w:tabs>
        <w:bidi w:val="0"/>
        <w:ind w:hanging="283" w:left="709"/>
        <w:jc w:val="left"/>
        <w:rPr/>
      </w:pPr>
      <w:r>
        <w:rPr/>
        <w:t xml:space="preserve">runtime or harness dependency changes </w:t>
      </w:r>
    </w:p>
    <w:p>
      <w:pPr>
        <w:pStyle w:val="BodyText"/>
        <w:bidi w:val="0"/>
        <w:jc w:val="left"/>
        <w:rPr/>
      </w:pPr>
      <w:r>
        <w:rPr/>
        <w:t xml:space="preserve">Where such drift materially affects capability or risk posture, the runtime </w:t>
      </w:r>
      <w:r>
        <w:rPr>
          <w:rStyle w:val="SourceText"/>
        </w:rPr>
        <w:t>SHOULD</w:t>
      </w:r>
      <w:r>
        <w:rPr/>
        <w:t xml:space="preserve"> trigger revalidation requirements or equivalent policy review rather than continuing to treat prior approval state as unquestionably current.</w:t>
      </w:r>
    </w:p>
    <w:p>
      <w:pPr>
        <w:pStyle w:val="BodyText"/>
        <w:bidi w:val="0"/>
        <w:jc w:val="left"/>
        <w:rPr/>
      </w:pPr>
      <w:r>
        <w:rPr/>
        <w:t xml:space="preserve">At minimum, the human-consumable runtime state </w:t>
      </w:r>
      <w:r>
        <w:rPr>
          <w:rStyle w:val="SourceText"/>
        </w:rPr>
        <w:t>SHOULD</w:t>
      </w:r>
      <w:r>
        <w:rPr/>
        <w:t xml:space="preserve"> distinguish conditions such as:</w:t>
      </w:r>
    </w:p>
    <w:p>
      <w:pPr>
        <w:pStyle w:val="BodyText"/>
        <w:numPr>
          <w:ilvl w:val="0"/>
          <w:numId w:val="42"/>
        </w:numPr>
        <w:tabs>
          <w:tab w:val="clear" w:pos="1134"/>
          <w:tab w:val="left" w:pos="709" w:leader="none"/>
        </w:tabs>
        <w:bidi w:val="0"/>
        <w:spacing w:before="0" w:after="0"/>
        <w:ind w:hanging="283" w:left="709"/>
        <w:jc w:val="left"/>
        <w:rPr/>
      </w:pPr>
      <w:r>
        <w:rPr/>
        <w:t xml:space="preserve">queued due to rate budget </w:t>
      </w:r>
    </w:p>
    <w:p>
      <w:pPr>
        <w:pStyle w:val="BodyText"/>
        <w:numPr>
          <w:ilvl w:val="0"/>
          <w:numId w:val="42"/>
        </w:numPr>
        <w:tabs>
          <w:tab w:val="clear" w:pos="1134"/>
          <w:tab w:val="left" w:pos="709" w:leader="none"/>
        </w:tabs>
        <w:bidi w:val="0"/>
        <w:spacing w:before="0" w:after="0"/>
        <w:ind w:hanging="283" w:left="709"/>
        <w:jc w:val="left"/>
        <w:rPr/>
      </w:pPr>
      <w:r>
        <w:rPr/>
        <w:t xml:space="preserve">deferred until reset window </w:t>
      </w:r>
    </w:p>
    <w:p>
      <w:pPr>
        <w:pStyle w:val="BodyText"/>
        <w:numPr>
          <w:ilvl w:val="0"/>
          <w:numId w:val="42"/>
        </w:numPr>
        <w:tabs>
          <w:tab w:val="clear" w:pos="1134"/>
          <w:tab w:val="left" w:pos="709" w:leader="none"/>
        </w:tabs>
        <w:bidi w:val="0"/>
        <w:spacing w:before="0" w:after="0"/>
        <w:ind w:hanging="283" w:left="709"/>
        <w:jc w:val="left"/>
        <w:rPr/>
      </w:pPr>
      <w:r>
        <w:rPr/>
        <w:t xml:space="preserve">rerouted to an approved alternate provider </w:t>
      </w:r>
    </w:p>
    <w:p>
      <w:pPr>
        <w:pStyle w:val="BodyText"/>
        <w:numPr>
          <w:ilvl w:val="0"/>
          <w:numId w:val="42"/>
        </w:numPr>
        <w:tabs>
          <w:tab w:val="clear" w:pos="1134"/>
          <w:tab w:val="left" w:pos="709" w:leader="none"/>
        </w:tabs>
        <w:bidi w:val="0"/>
        <w:spacing w:before="0" w:after="0"/>
        <w:ind w:hanging="283" w:left="709"/>
        <w:jc w:val="left"/>
        <w:rPr/>
      </w:pPr>
      <w:r>
        <w:rPr/>
        <w:t xml:space="preserve">blocked pending approval or escalation </w:t>
      </w:r>
    </w:p>
    <w:p>
      <w:pPr>
        <w:pStyle w:val="BodyText"/>
        <w:numPr>
          <w:ilvl w:val="0"/>
          <w:numId w:val="42"/>
        </w:numPr>
        <w:tabs>
          <w:tab w:val="clear" w:pos="1134"/>
          <w:tab w:val="left" w:pos="709" w:leader="none"/>
        </w:tabs>
        <w:bidi w:val="0"/>
        <w:ind w:hanging="283" w:left="709"/>
        <w:jc w:val="left"/>
        <w:rPr/>
      </w:pPr>
      <w:r>
        <w:rPr/>
        <w:t xml:space="preserve">blocked by provider auth, billing, contract, or policy status </w:t>
      </w:r>
    </w:p>
    <w:p>
      <w:pPr>
        <w:pStyle w:val="Heading3"/>
        <w:bidi w:val="0"/>
        <w:jc w:val="left"/>
        <w:rPr/>
      </w:pPr>
      <w:r>
        <w:rPr/>
        <w:t>8.7 Bounded and Resumable Inference Queues</w:t>
      </w:r>
    </w:p>
    <w:p>
      <w:pPr>
        <w:pStyle w:val="BodyText"/>
        <w:bidi w:val="0"/>
        <w:jc w:val="left"/>
        <w:rPr/>
      </w:pPr>
      <w:r>
        <w:rPr/>
        <w:t xml:space="preserve">A conforming runtime </w:t>
      </w:r>
      <w:r>
        <w:rPr>
          <w:rStyle w:val="SourceText"/>
        </w:rPr>
        <w:t>MUST</w:t>
      </w:r>
      <w:r>
        <w:rPr/>
        <w:t xml:space="preserve"> support bounded, resumable inference queues rather than assuming every user request maps directly to an immediate model call.</w:t>
      </w:r>
    </w:p>
    <w:p>
      <w:pPr>
        <w:pStyle w:val="BodyText"/>
        <w:bidi w:val="0"/>
        <w:jc w:val="left"/>
        <w:rPr/>
      </w:pPr>
      <w:r>
        <w:rPr/>
        <w:t xml:space="preserve">The inference queue </w:t>
      </w:r>
      <w:r>
        <w:rPr>
          <w:rStyle w:val="SourceText"/>
        </w:rPr>
        <w:t>MUST</w:t>
      </w:r>
      <w:r>
        <w:rPr/>
        <w:t>:</w:t>
      </w:r>
    </w:p>
    <w:p>
      <w:pPr>
        <w:pStyle w:val="BodyText"/>
        <w:numPr>
          <w:ilvl w:val="0"/>
          <w:numId w:val="43"/>
        </w:numPr>
        <w:tabs>
          <w:tab w:val="clear" w:pos="1134"/>
          <w:tab w:val="left" w:pos="709" w:leader="none"/>
        </w:tabs>
        <w:bidi w:val="0"/>
        <w:spacing w:before="0" w:after="0"/>
        <w:ind w:hanging="283" w:left="709"/>
        <w:jc w:val="left"/>
        <w:rPr/>
      </w:pPr>
      <w:r>
        <w:rPr/>
        <w:t xml:space="preserve">be bounded by declared policy or capacity </w:t>
      </w:r>
    </w:p>
    <w:p>
      <w:pPr>
        <w:pStyle w:val="BodyText"/>
        <w:numPr>
          <w:ilvl w:val="0"/>
          <w:numId w:val="43"/>
        </w:numPr>
        <w:tabs>
          <w:tab w:val="clear" w:pos="1134"/>
          <w:tab w:val="left" w:pos="709" w:leader="none"/>
        </w:tabs>
        <w:bidi w:val="0"/>
        <w:spacing w:before="0" w:after="0"/>
        <w:ind w:hanging="283" w:left="709"/>
        <w:jc w:val="left"/>
        <w:rPr/>
      </w:pPr>
      <w:r>
        <w:rPr/>
        <w:t xml:space="preserve">preserve request identity and ordering semantics sufficient for safe resumption </w:t>
      </w:r>
    </w:p>
    <w:p>
      <w:pPr>
        <w:pStyle w:val="BodyText"/>
        <w:numPr>
          <w:ilvl w:val="0"/>
          <w:numId w:val="43"/>
        </w:numPr>
        <w:tabs>
          <w:tab w:val="clear" w:pos="1134"/>
          <w:tab w:val="left" w:pos="709" w:leader="none"/>
        </w:tabs>
        <w:bidi w:val="0"/>
        <w:spacing w:before="0" w:after="0"/>
        <w:ind w:hanging="283" w:left="709"/>
        <w:jc w:val="left"/>
        <w:rPr/>
      </w:pPr>
      <w:r>
        <w:rPr/>
        <w:t xml:space="preserve">retain retry, deferral, and failover state </w:t>
      </w:r>
    </w:p>
    <w:p>
      <w:pPr>
        <w:pStyle w:val="BodyText"/>
        <w:numPr>
          <w:ilvl w:val="0"/>
          <w:numId w:val="43"/>
        </w:numPr>
        <w:tabs>
          <w:tab w:val="clear" w:pos="1134"/>
          <w:tab w:val="left" w:pos="709" w:leader="none"/>
        </w:tabs>
        <w:bidi w:val="0"/>
        <w:spacing w:before="0" w:after="0"/>
        <w:ind w:hanging="283" w:left="709"/>
        <w:jc w:val="left"/>
        <w:rPr/>
      </w:pPr>
      <w:r>
        <w:rPr/>
        <w:t xml:space="preserve">support explicit expiry, cancellation, or operator intervention </w:t>
      </w:r>
    </w:p>
    <w:p>
      <w:pPr>
        <w:pStyle w:val="BodyText"/>
        <w:numPr>
          <w:ilvl w:val="0"/>
          <w:numId w:val="43"/>
        </w:numPr>
        <w:tabs>
          <w:tab w:val="clear" w:pos="1134"/>
          <w:tab w:val="left" w:pos="709" w:leader="none"/>
        </w:tabs>
        <w:bidi w:val="0"/>
        <w:ind w:hanging="283" w:left="709"/>
        <w:jc w:val="left"/>
        <w:rPr/>
      </w:pPr>
      <w:r>
        <w:rPr/>
        <w:t xml:space="preserve">prevent unbounded replay of queued work </w:t>
      </w:r>
    </w:p>
    <w:p>
      <w:pPr>
        <w:pStyle w:val="BodyText"/>
        <w:bidi w:val="0"/>
        <w:jc w:val="left"/>
        <w:rPr/>
      </w:pPr>
      <w:r>
        <w:rPr/>
        <w:t xml:space="preserve">For consequential or side-effecting workflows, the runtime </w:t>
      </w:r>
      <w:r>
        <w:rPr>
          <w:rStyle w:val="SourceText"/>
        </w:rPr>
        <w:t>MUST</w:t>
      </w:r>
      <w:r>
        <w:rPr/>
        <w:t xml:space="preserve"> ensure that queue resumption does not silently duplicate already-completed actions.</w:t>
      </w:r>
    </w:p>
    <w:p>
      <w:pPr>
        <w:pStyle w:val="BodyText"/>
        <w:bidi w:val="0"/>
        <w:jc w:val="left"/>
        <w:rPr/>
      </w:pPr>
      <w:r>
        <w:rPr/>
        <w:t xml:space="preserve">Queue entries </w:t>
      </w:r>
      <w:r>
        <w:rPr>
          <w:rStyle w:val="SourceText"/>
        </w:rPr>
        <w:t>SHOULD</w:t>
      </w:r>
      <w:r>
        <w:rPr/>
        <w:t xml:space="preserve"> carry, at minimum:</w:t>
      </w:r>
    </w:p>
    <w:p>
      <w:pPr>
        <w:pStyle w:val="BodyText"/>
        <w:numPr>
          <w:ilvl w:val="0"/>
          <w:numId w:val="44"/>
        </w:numPr>
        <w:tabs>
          <w:tab w:val="clear" w:pos="1134"/>
          <w:tab w:val="left" w:pos="709" w:leader="none"/>
        </w:tabs>
        <w:bidi w:val="0"/>
        <w:spacing w:before="0" w:after="0"/>
        <w:ind w:hanging="283" w:left="709"/>
        <w:jc w:val="left"/>
        <w:rPr/>
      </w:pPr>
      <w:r>
        <w:rPr/>
        <w:t xml:space="preserve">agent identity </w:t>
      </w:r>
    </w:p>
    <w:p>
      <w:pPr>
        <w:pStyle w:val="BodyText"/>
        <w:numPr>
          <w:ilvl w:val="0"/>
          <w:numId w:val="44"/>
        </w:numPr>
        <w:tabs>
          <w:tab w:val="clear" w:pos="1134"/>
          <w:tab w:val="left" w:pos="709" w:leader="none"/>
        </w:tabs>
        <w:bidi w:val="0"/>
        <w:spacing w:before="0" w:after="0"/>
        <w:ind w:hanging="283" w:left="709"/>
        <w:jc w:val="left"/>
        <w:rPr/>
      </w:pPr>
      <w:r>
        <w:rPr/>
        <w:t xml:space="preserve">principal or workflow identity </w:t>
      </w:r>
    </w:p>
    <w:p>
      <w:pPr>
        <w:pStyle w:val="BodyText"/>
        <w:numPr>
          <w:ilvl w:val="0"/>
          <w:numId w:val="44"/>
        </w:numPr>
        <w:tabs>
          <w:tab w:val="clear" w:pos="1134"/>
          <w:tab w:val="left" w:pos="709" w:leader="none"/>
        </w:tabs>
        <w:bidi w:val="0"/>
        <w:spacing w:before="0" w:after="0"/>
        <w:ind w:hanging="283" w:left="709"/>
        <w:jc w:val="left"/>
        <w:rPr/>
      </w:pPr>
      <w:r>
        <w:rPr/>
        <w:t xml:space="preserve">requested capability tier </w:t>
      </w:r>
    </w:p>
    <w:p>
      <w:pPr>
        <w:pStyle w:val="BodyText"/>
        <w:numPr>
          <w:ilvl w:val="0"/>
          <w:numId w:val="44"/>
        </w:numPr>
        <w:tabs>
          <w:tab w:val="clear" w:pos="1134"/>
          <w:tab w:val="left" w:pos="709" w:leader="none"/>
        </w:tabs>
        <w:bidi w:val="0"/>
        <w:spacing w:before="0" w:after="0"/>
        <w:ind w:hanging="283" w:left="709"/>
        <w:jc w:val="left"/>
        <w:rPr/>
      </w:pPr>
      <w:r>
        <w:rPr/>
        <w:t xml:space="preserve">sensitivity class </w:t>
      </w:r>
    </w:p>
    <w:p>
      <w:pPr>
        <w:pStyle w:val="BodyText"/>
        <w:numPr>
          <w:ilvl w:val="0"/>
          <w:numId w:val="44"/>
        </w:numPr>
        <w:tabs>
          <w:tab w:val="clear" w:pos="1134"/>
          <w:tab w:val="left" w:pos="709" w:leader="none"/>
        </w:tabs>
        <w:bidi w:val="0"/>
        <w:spacing w:before="0" w:after="0"/>
        <w:ind w:hanging="283" w:left="709"/>
        <w:jc w:val="left"/>
        <w:rPr/>
      </w:pPr>
      <w:r>
        <w:rPr/>
        <w:t xml:space="preserve">retry count </w:t>
      </w:r>
    </w:p>
    <w:p>
      <w:pPr>
        <w:pStyle w:val="BodyText"/>
        <w:numPr>
          <w:ilvl w:val="0"/>
          <w:numId w:val="44"/>
        </w:numPr>
        <w:tabs>
          <w:tab w:val="clear" w:pos="1134"/>
          <w:tab w:val="left" w:pos="709" w:leader="none"/>
        </w:tabs>
        <w:bidi w:val="0"/>
        <w:spacing w:before="0" w:after="0"/>
        <w:ind w:hanging="283" w:left="709"/>
        <w:jc w:val="left"/>
        <w:rPr/>
      </w:pPr>
      <w:r>
        <w:rPr/>
        <w:t xml:space="preserve">next eligible execution time </w:t>
      </w:r>
    </w:p>
    <w:p>
      <w:pPr>
        <w:pStyle w:val="BodyText"/>
        <w:numPr>
          <w:ilvl w:val="0"/>
          <w:numId w:val="44"/>
        </w:numPr>
        <w:tabs>
          <w:tab w:val="clear" w:pos="1134"/>
          <w:tab w:val="left" w:pos="709" w:leader="none"/>
        </w:tabs>
        <w:bidi w:val="0"/>
        <w:ind w:hanging="283" w:left="709"/>
        <w:jc w:val="left"/>
        <w:rPr/>
      </w:pPr>
      <w:r>
        <w:rPr/>
        <w:t xml:space="preserve">current provider or failover state </w:t>
      </w:r>
    </w:p>
    <w:p>
      <w:pPr>
        <w:pStyle w:val="Heading3"/>
        <w:bidi w:val="0"/>
        <w:jc w:val="left"/>
        <w:rPr/>
      </w:pPr>
      <w:r>
        <w:rPr/>
        <w:t>8.8 Policy-Based Failover and Scheduled Retry</w:t>
      </w:r>
    </w:p>
    <w:p>
      <w:pPr>
        <w:pStyle w:val="BodyText"/>
        <w:bidi w:val="0"/>
        <w:jc w:val="left"/>
        <w:rPr/>
      </w:pPr>
      <w:r>
        <w:rPr/>
        <w:t xml:space="preserve">A conforming runtime </w:t>
      </w:r>
      <w:r>
        <w:rPr>
          <w:rStyle w:val="SourceText"/>
        </w:rPr>
        <w:t>SHOULD</w:t>
      </w:r>
      <w:r>
        <w:rPr/>
        <w:t xml:space="preserve"> support policy-based fallback to another approved model or provider when the originally selected path is unavailable, rate-limited, misconfigured, or otherwise unsuitable.</w:t>
      </w:r>
    </w:p>
    <w:p>
      <w:pPr>
        <w:pStyle w:val="BodyText"/>
        <w:bidi w:val="0"/>
        <w:jc w:val="left"/>
        <w:rPr/>
      </w:pPr>
      <w:r>
        <w:rPr/>
        <w:t>If failover is supported, the runtime:</w:t>
      </w:r>
    </w:p>
    <w:p>
      <w:pPr>
        <w:pStyle w:val="BodyText"/>
        <w:numPr>
          <w:ilvl w:val="0"/>
          <w:numId w:val="45"/>
        </w:numPr>
        <w:tabs>
          <w:tab w:val="clear" w:pos="1134"/>
          <w:tab w:val="left" w:pos="709" w:leader="none"/>
        </w:tabs>
        <w:bidi w:val="0"/>
        <w:spacing w:before="0" w:after="0"/>
        <w:ind w:hanging="283" w:left="709"/>
        <w:jc w:val="left"/>
        <w:rPr/>
      </w:pPr>
      <w:r>
        <w:rPr>
          <w:rStyle w:val="SourceText"/>
        </w:rPr>
        <w:t>MUST</w:t>
      </w:r>
      <w:r>
        <w:rPr/>
        <w:t xml:space="preserve"> evaluate failover eligibility against capability tier, sensitivity, contract, jurisdiction, and policy constraints </w:t>
      </w:r>
    </w:p>
    <w:p>
      <w:pPr>
        <w:pStyle w:val="BodyText"/>
        <w:numPr>
          <w:ilvl w:val="0"/>
          <w:numId w:val="45"/>
        </w:numPr>
        <w:tabs>
          <w:tab w:val="clear" w:pos="1134"/>
          <w:tab w:val="left" w:pos="709" w:leader="none"/>
        </w:tabs>
        <w:bidi w:val="0"/>
        <w:spacing w:before="0" w:after="0"/>
        <w:ind w:hanging="283" w:left="709"/>
        <w:jc w:val="left"/>
        <w:rPr/>
      </w:pPr>
      <w:r>
        <w:rPr>
          <w:rStyle w:val="SourceText"/>
        </w:rPr>
        <w:t>MUST NOT</w:t>
      </w:r>
      <w:r>
        <w:rPr/>
        <w:t xml:space="preserve"> fail over to a provider or model that is not approved for the relevant task class </w:t>
      </w:r>
    </w:p>
    <w:p>
      <w:pPr>
        <w:pStyle w:val="BodyText"/>
        <w:numPr>
          <w:ilvl w:val="0"/>
          <w:numId w:val="45"/>
        </w:numPr>
        <w:tabs>
          <w:tab w:val="clear" w:pos="1134"/>
          <w:tab w:val="left" w:pos="709" w:leader="none"/>
        </w:tabs>
        <w:bidi w:val="0"/>
        <w:spacing w:before="0" w:after="0"/>
        <w:ind w:hanging="283" w:left="709"/>
        <w:jc w:val="left"/>
        <w:rPr/>
      </w:pPr>
      <w:r>
        <w:rPr>
          <w:rStyle w:val="SourceText"/>
        </w:rPr>
        <w:t>MUST NOT</w:t>
      </w:r>
      <w:r>
        <w:rPr/>
        <w:t xml:space="preserve"> use failover to bypass </w:t>
      </w:r>
      <w:r>
        <w:rPr>
          <w:rStyle w:val="SourceText"/>
        </w:rPr>
        <w:t>GAID</w:t>
      </w:r>
      <w:r>
        <w:rPr/>
        <w:t xml:space="preserve"> scope, badge, or operating-surface restrictions </w:t>
      </w:r>
    </w:p>
    <w:p>
      <w:pPr>
        <w:pStyle w:val="BodyText"/>
        <w:numPr>
          <w:ilvl w:val="0"/>
          <w:numId w:val="45"/>
        </w:numPr>
        <w:tabs>
          <w:tab w:val="clear" w:pos="1134"/>
          <w:tab w:val="left" w:pos="709" w:leader="none"/>
        </w:tabs>
        <w:bidi w:val="0"/>
        <w:ind w:hanging="283" w:left="709"/>
        <w:jc w:val="left"/>
        <w:rPr/>
      </w:pPr>
      <w:r>
        <w:rPr>
          <w:rStyle w:val="SourceText"/>
        </w:rPr>
        <w:t>MUST</w:t>
      </w:r>
      <w:r>
        <w:rPr/>
        <w:t xml:space="preserve"> record the policy basis for the substitution </w:t>
      </w:r>
    </w:p>
    <w:p>
      <w:pPr>
        <w:pStyle w:val="BodyText"/>
        <w:bidi w:val="0"/>
        <w:jc w:val="left"/>
        <w:rPr/>
      </w:pPr>
      <w:r>
        <w:rPr/>
        <w:t xml:space="preserve">When failover is not allowed or not useful, the runtime </w:t>
      </w:r>
      <w:r>
        <w:rPr>
          <w:rStyle w:val="SourceText"/>
        </w:rPr>
        <w:t>MAY</w:t>
      </w:r>
      <w:r>
        <w:rPr/>
        <w:t xml:space="preserve"> schedule retry after a known reset window or budget-replenishment event.</w:t>
      </w:r>
    </w:p>
    <w:p>
      <w:pPr>
        <w:pStyle w:val="BodyText"/>
        <w:bidi w:val="0"/>
        <w:jc w:val="left"/>
        <w:rPr/>
      </w:pPr>
      <w:r>
        <w:rPr/>
        <w:t xml:space="preserve">If scheduled retry is used, the runtime </w:t>
      </w:r>
      <w:r>
        <w:rPr>
          <w:rStyle w:val="SourceText"/>
        </w:rPr>
        <w:t>MUST</w:t>
      </w:r>
      <w:r>
        <w:rPr/>
        <w:t>:</w:t>
      </w:r>
    </w:p>
    <w:p>
      <w:pPr>
        <w:pStyle w:val="BodyText"/>
        <w:numPr>
          <w:ilvl w:val="0"/>
          <w:numId w:val="46"/>
        </w:numPr>
        <w:tabs>
          <w:tab w:val="clear" w:pos="1134"/>
          <w:tab w:val="left" w:pos="709" w:leader="none"/>
        </w:tabs>
        <w:bidi w:val="0"/>
        <w:spacing w:before="0" w:after="0"/>
        <w:ind w:hanging="283" w:left="709"/>
        <w:jc w:val="left"/>
        <w:rPr/>
      </w:pPr>
      <w:r>
        <w:rPr/>
        <w:t xml:space="preserve">preserve queue state across the deferral </w:t>
      </w:r>
    </w:p>
    <w:p>
      <w:pPr>
        <w:pStyle w:val="BodyText"/>
        <w:numPr>
          <w:ilvl w:val="0"/>
          <w:numId w:val="46"/>
        </w:numPr>
        <w:tabs>
          <w:tab w:val="clear" w:pos="1134"/>
          <w:tab w:val="left" w:pos="709" w:leader="none"/>
        </w:tabs>
        <w:bidi w:val="0"/>
        <w:spacing w:before="0" w:after="0"/>
        <w:ind w:hanging="283" w:left="709"/>
        <w:jc w:val="left"/>
        <w:rPr/>
      </w:pPr>
      <w:r>
        <w:rPr/>
        <w:t xml:space="preserve">surface the deferred state and next retry condition to operators and users </w:t>
      </w:r>
    </w:p>
    <w:p>
      <w:pPr>
        <w:pStyle w:val="BodyText"/>
        <w:numPr>
          <w:ilvl w:val="0"/>
          <w:numId w:val="46"/>
        </w:numPr>
        <w:tabs>
          <w:tab w:val="clear" w:pos="1134"/>
          <w:tab w:val="left" w:pos="709" w:leader="none"/>
        </w:tabs>
        <w:bidi w:val="0"/>
        <w:ind w:hanging="283" w:left="709"/>
        <w:jc w:val="left"/>
        <w:rPr/>
      </w:pPr>
      <w:r>
        <w:rPr/>
        <w:t xml:space="preserve">stop retrying when policy, expiry, or repeated failure thresholds require escalation instead </w:t>
      </w:r>
    </w:p>
    <w:p>
      <w:pPr>
        <w:pStyle w:val="Heading3"/>
        <w:bidi w:val="0"/>
        <w:jc w:val="left"/>
        <w:rPr/>
      </w:pPr>
      <w:r>
        <w:rPr/>
        <w:t>8.9 Illustrative Queue and Provider Pseudocode</w:t>
      </w:r>
    </w:p>
    <w:p>
      <w:pPr>
        <w:pStyle w:val="BodyText"/>
        <w:bidi w:val="0"/>
        <w:jc w:val="left"/>
        <w:rPr/>
      </w:pPr>
      <w:r>
        <w:rPr/>
        <w:t>The following pseudocode is informative, but it expresses the minimum runtime behavior the standard expects.</w:t>
      </w:r>
    </w:p>
    <w:p>
      <w:pPr>
        <w:pStyle w:val="PreformattedText"/>
        <w:bidi w:val="0"/>
        <w:jc w:val="left"/>
        <w:rPr/>
      </w:pPr>
      <w:r>
        <w:rPr>
          <w:rStyle w:val="SourceText"/>
        </w:rPr>
        <w:t>function processInferenceRequest(request):</w:t>
      </w:r>
    </w:p>
    <w:p>
      <w:pPr>
        <w:pStyle w:val="PreformattedText"/>
        <w:bidi w:val="0"/>
        <w:jc w:val="left"/>
        <w:rPr/>
      </w:pPr>
      <w:r>
        <w:rPr>
          <w:rStyle w:val="SourceText"/>
        </w:rPr>
        <w:t xml:space="preserve">  </w:t>
      </w:r>
      <w:r>
        <w:rPr>
          <w:rStyle w:val="SourceText"/>
        </w:rPr>
        <w:t>prior = findCompletedInferenceByIdempotencyKey(request.idempotency_key)</w:t>
      </w:r>
    </w:p>
    <w:p>
      <w:pPr>
        <w:pStyle w:val="PreformattedText"/>
        <w:bidi w:val="0"/>
        <w:jc w:val="left"/>
        <w:rPr/>
      </w:pPr>
      <w:r>
        <w:rPr>
          <w:rStyle w:val="SourceText"/>
        </w:rPr>
        <w:t xml:space="preserve">  </w:t>
      </w:r>
      <w:r>
        <w:rPr>
          <w:rStyle w:val="SourceText"/>
        </w:rPr>
        <w:t>if prior is not null:</w:t>
      </w:r>
    </w:p>
    <w:p>
      <w:pPr>
        <w:pStyle w:val="PreformattedText"/>
        <w:bidi w:val="0"/>
        <w:jc w:val="left"/>
        <w:rPr/>
      </w:pPr>
      <w:r>
        <w:rPr>
          <w:rStyle w:val="SourceText"/>
        </w:rPr>
        <w:t xml:space="preserve">    </w:t>
      </w:r>
      <w:r>
        <w:rPr>
          <w:rStyle w:val="SourceText"/>
        </w:rPr>
        <w:t>emit("tak.inference.reused", request, prior)</w:t>
      </w:r>
    </w:p>
    <w:p>
      <w:pPr>
        <w:pStyle w:val="PreformattedText"/>
        <w:bidi w:val="0"/>
        <w:jc w:val="left"/>
        <w:rPr/>
      </w:pPr>
      <w:r>
        <w:rPr>
          <w:rStyle w:val="SourceText"/>
        </w:rPr>
        <w:t xml:space="preserve">    </w:t>
      </w:r>
      <w:r>
        <w:rPr>
          <w:rStyle w:val="SourceText"/>
        </w:rPr>
        <w:t>return prior</w:t>
      </w:r>
    </w:p>
    <w:p>
      <w:pPr>
        <w:pStyle w:val="PreformattedText"/>
        <w:bidi w:val="0"/>
        <w:jc w:val="left"/>
        <w:rPr/>
      </w:pPr>
      <w:r>
        <w:rPr/>
      </w:r>
    </w:p>
    <w:p>
      <w:pPr>
        <w:pStyle w:val="PreformattedText"/>
        <w:bidi w:val="0"/>
        <w:jc w:val="left"/>
        <w:rPr/>
      </w:pPr>
      <w:r>
        <w:rPr>
          <w:rStyle w:val="SourceText"/>
        </w:rPr>
        <w:t xml:space="preserve">  </w:t>
      </w:r>
      <w:r>
        <w:rPr>
          <w:rStyle w:val="SourceText"/>
        </w:rPr>
        <w:t>profile = resolveApprovedOperatingProfile(request.agent_id)</w:t>
      </w:r>
    </w:p>
    <w:p>
      <w:pPr>
        <w:pStyle w:val="PreformattedText"/>
        <w:bidi w:val="0"/>
        <w:jc w:val="left"/>
        <w:rPr/>
      </w:pPr>
      <w:r>
        <w:rPr>
          <w:rStyle w:val="SourceText"/>
        </w:rPr>
        <w:t xml:space="preserve">  </w:t>
      </w:r>
      <w:r>
        <w:rPr>
          <w:rStyle w:val="SourceText"/>
        </w:rPr>
        <w:t>tier = resolveCapabilityTier(request.task_class, request.sensitivity_class)</w:t>
      </w:r>
    </w:p>
    <w:p>
      <w:pPr>
        <w:pStyle w:val="PreformattedText"/>
        <w:bidi w:val="0"/>
        <w:jc w:val="left"/>
        <w:rPr/>
      </w:pPr>
      <w:r>
        <w:rPr>
          <w:rStyle w:val="SourceText"/>
        </w:rPr>
        <w:t xml:space="preserve">  </w:t>
      </w:r>
      <w:r>
        <w:rPr>
          <w:rStyle w:val="SourceText"/>
        </w:rPr>
        <w:t>budget = getProviderBudget(profile.primary_provider, profile.model_binding)</w:t>
      </w:r>
    </w:p>
    <w:p>
      <w:pPr>
        <w:pStyle w:val="PreformattedText"/>
        <w:bidi w:val="0"/>
        <w:jc w:val="left"/>
        <w:rPr/>
      </w:pPr>
      <w:r>
        <w:rPr/>
      </w:r>
    </w:p>
    <w:p>
      <w:pPr>
        <w:pStyle w:val="PreformattedText"/>
        <w:bidi w:val="0"/>
        <w:jc w:val="left"/>
        <w:rPr/>
      </w:pPr>
      <w:r>
        <w:rPr>
          <w:rStyle w:val="SourceText"/>
        </w:rPr>
        <w:t xml:space="preserve">  </w:t>
      </w:r>
      <w:r>
        <w:rPr>
          <w:rStyle w:val="SourceText"/>
        </w:rPr>
        <w:t>if not budget.canAdmit(request):</w:t>
      </w:r>
    </w:p>
    <w:p>
      <w:pPr>
        <w:pStyle w:val="PreformattedText"/>
        <w:bidi w:val="0"/>
        <w:jc w:val="left"/>
        <w:rPr/>
      </w:pPr>
      <w:r>
        <w:rPr>
          <w:rStyle w:val="SourceText"/>
        </w:rPr>
        <w:t xml:space="preserve">    </w:t>
      </w:r>
      <w:r>
        <w:rPr>
          <w:rStyle w:val="SourceText"/>
        </w:rPr>
        <w:t>emit("tak.provider.backpressure", request, budget)</w:t>
      </w:r>
    </w:p>
    <w:p>
      <w:pPr>
        <w:pStyle w:val="PreformattedText"/>
        <w:bidi w:val="0"/>
        <w:jc w:val="left"/>
        <w:rPr/>
      </w:pPr>
      <w:r>
        <w:rPr>
          <w:rStyle w:val="SourceText"/>
        </w:rPr>
        <w:t xml:space="preserve">    </w:t>
      </w:r>
      <w:r>
        <w:rPr>
          <w:rStyle w:val="SourceText"/>
        </w:rPr>
        <w:t>queue.defer(</w:t>
      </w:r>
    </w:p>
    <w:p>
      <w:pPr>
        <w:pStyle w:val="PreformattedText"/>
        <w:bidi w:val="0"/>
        <w:jc w:val="left"/>
        <w:rPr/>
      </w:pPr>
      <w:r>
        <w:rPr>
          <w:rStyle w:val="SourceText"/>
        </w:rPr>
        <w:t xml:space="preserve">      </w:t>
      </w:r>
      <w:r>
        <w:rPr>
          <w:rStyle w:val="SourceText"/>
        </w:rPr>
        <w:t>request,</w:t>
      </w:r>
    </w:p>
    <w:p>
      <w:pPr>
        <w:pStyle w:val="PreformattedText"/>
        <w:bidi w:val="0"/>
        <w:jc w:val="left"/>
        <w:rPr/>
      </w:pPr>
      <w:r>
        <w:rPr>
          <w:rStyle w:val="SourceText"/>
        </w:rPr>
        <w:t xml:space="preserve">      </w:t>
      </w:r>
      <w:r>
        <w:rPr>
          <w:rStyle w:val="SourceText"/>
        </w:rPr>
        <w:t>reason = "provider_budget",</w:t>
      </w:r>
    </w:p>
    <w:p>
      <w:pPr>
        <w:pStyle w:val="PreformattedText"/>
        <w:bidi w:val="0"/>
        <w:jc w:val="left"/>
        <w:rPr/>
      </w:pPr>
      <w:r>
        <w:rPr>
          <w:rStyle w:val="SourceText"/>
        </w:rPr>
        <w:t xml:space="preserve">      </w:t>
      </w:r>
      <w:r>
        <w:rPr>
          <w:rStyle w:val="SourceText"/>
        </w:rPr>
        <w:t>next_eligible_time = budget.nextResetWindow()</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emit("tak.queue.deferred", request, budget)</w:t>
      </w:r>
    </w:p>
    <w:p>
      <w:pPr>
        <w:pStyle w:val="PreformattedText"/>
        <w:bidi w:val="0"/>
        <w:jc w:val="left"/>
        <w:rPr/>
      </w:pPr>
      <w:r>
        <w:rPr>
          <w:rStyle w:val="SourceText"/>
        </w:rPr>
        <w:t xml:space="preserve">    </w:t>
      </w:r>
      <w:r>
        <w:rPr>
          <w:rStyle w:val="SourceText"/>
        </w:rPr>
        <w:t>return deferredToUser(request, budget)</w:t>
      </w:r>
    </w:p>
    <w:p>
      <w:pPr>
        <w:pStyle w:val="PreformattedText"/>
        <w:bidi w:val="0"/>
        <w:jc w:val="left"/>
        <w:rPr/>
      </w:pPr>
      <w:r>
        <w:rPr/>
      </w:r>
    </w:p>
    <w:p>
      <w:pPr>
        <w:pStyle w:val="PreformattedText"/>
        <w:bidi w:val="0"/>
        <w:jc w:val="left"/>
        <w:rPr/>
      </w:pPr>
      <w:r>
        <w:rPr>
          <w:rStyle w:val="SourceText"/>
        </w:rPr>
        <w:t xml:space="preserve">  </w:t>
      </w:r>
      <w:r>
        <w:rPr>
          <w:rStyle w:val="SourceText"/>
        </w:rPr>
        <w:t>queue.admit(request)</w:t>
      </w:r>
    </w:p>
    <w:p>
      <w:pPr>
        <w:pStyle w:val="PreformattedText"/>
        <w:bidi w:val="0"/>
        <w:jc w:val="left"/>
        <w:rPr/>
      </w:pPr>
      <w:r>
        <w:rPr>
          <w:rStyle w:val="SourceText"/>
        </w:rPr>
        <w:t xml:space="preserve">  </w:t>
      </w:r>
      <w:r>
        <w:rPr>
          <w:rStyle w:val="SourceText"/>
        </w:rPr>
        <w:t>emit("tak.queue.admitted", request, budget)</w:t>
      </w:r>
    </w:p>
    <w:p>
      <w:pPr>
        <w:pStyle w:val="PreformattedText"/>
        <w:bidi w:val="0"/>
        <w:jc w:val="left"/>
        <w:rPr/>
      </w:pPr>
      <w:r>
        <w:rPr/>
      </w:r>
    </w:p>
    <w:p>
      <w:pPr>
        <w:pStyle w:val="PreformattedText"/>
        <w:bidi w:val="0"/>
        <w:jc w:val="left"/>
        <w:rPr/>
      </w:pPr>
      <w:r>
        <w:rPr>
          <w:rStyle w:val="SourceText"/>
        </w:rPr>
        <w:t xml:space="preserve">  </w:t>
      </w:r>
      <w:r>
        <w:rPr>
          <w:rStyle w:val="SourceText"/>
        </w:rPr>
        <w:t>result = tryPrimaryExecution(request, profile)</w:t>
      </w:r>
    </w:p>
    <w:p>
      <w:pPr>
        <w:pStyle w:val="PreformattedText"/>
        <w:bidi w:val="0"/>
        <w:jc w:val="left"/>
        <w:rPr/>
      </w:pPr>
      <w:r>
        <w:rPr>
          <w:rStyle w:val="SourceText"/>
        </w:rPr>
        <w:t xml:space="preserve">  </w:t>
      </w:r>
      <w:r>
        <w:rPr>
          <w:rStyle w:val="SourceText"/>
        </w:rPr>
        <w:t>lastResult = result</w:t>
      </w:r>
    </w:p>
    <w:p>
      <w:pPr>
        <w:pStyle w:val="PreformattedText"/>
        <w:bidi w:val="0"/>
        <w:jc w:val="left"/>
        <w:rPr/>
      </w:pPr>
      <w:r>
        <w:rPr>
          <w:rStyle w:val="SourceText"/>
        </w:rPr>
        <w:t xml:space="preserve">  </w:t>
      </w:r>
      <w:r>
        <w:rPr>
          <w:rStyle w:val="SourceText"/>
        </w:rPr>
        <w:t>if result.success:</w:t>
      </w:r>
    </w:p>
    <w:p>
      <w:pPr>
        <w:pStyle w:val="PreformattedText"/>
        <w:bidi w:val="0"/>
        <w:jc w:val="left"/>
        <w:rPr/>
      </w:pPr>
      <w:r>
        <w:rPr>
          <w:rStyle w:val="SourceText"/>
        </w:rPr>
        <w:t xml:space="preserve">    </w:t>
      </w:r>
      <w:r>
        <w:rPr>
          <w:rStyle w:val="SourceText"/>
        </w:rPr>
        <w:t>emit("tak.inference.completed", request, result)</w:t>
      </w:r>
    </w:p>
    <w:p>
      <w:pPr>
        <w:pStyle w:val="PreformattedText"/>
        <w:bidi w:val="0"/>
        <w:jc w:val="left"/>
        <w:rPr/>
      </w:pPr>
      <w:r>
        <w:rPr>
          <w:rStyle w:val="SourceText"/>
        </w:rPr>
        <w:t xml:space="preserve">    </w:t>
      </w:r>
      <w:r>
        <w:rPr>
          <w:rStyle w:val="SourceText"/>
        </w:rPr>
        <w:t>return result</w:t>
      </w:r>
    </w:p>
    <w:p>
      <w:pPr>
        <w:pStyle w:val="PreformattedText"/>
        <w:bidi w:val="0"/>
        <w:jc w:val="left"/>
        <w:rPr/>
      </w:pPr>
      <w:r>
        <w:rPr/>
      </w:r>
    </w:p>
    <w:p>
      <w:pPr>
        <w:pStyle w:val="PreformattedText"/>
        <w:bidi w:val="0"/>
        <w:jc w:val="left"/>
        <w:rPr/>
      </w:pPr>
      <w:r>
        <w:rPr>
          <w:rStyle w:val="SourceText"/>
        </w:rPr>
        <w:t xml:space="preserve">  </w:t>
      </w:r>
      <w:r>
        <w:rPr>
          <w:rStyle w:val="SourceText"/>
        </w:rPr>
        <w:t>if policyAllowsFailover(request, profile, tier, result.failure_reason):</w:t>
      </w:r>
    </w:p>
    <w:p>
      <w:pPr>
        <w:pStyle w:val="PreformattedText"/>
        <w:bidi w:val="0"/>
        <w:jc w:val="left"/>
        <w:rPr/>
      </w:pPr>
      <w:r>
        <w:rPr>
          <w:rStyle w:val="SourceText"/>
        </w:rPr>
        <w:t xml:space="preserve">    </w:t>
      </w:r>
      <w:r>
        <w:rPr>
          <w:rStyle w:val="SourceText"/>
        </w:rPr>
        <w:t>alternate = selectApprovedAlternateProvider(request, profile, tier)</w:t>
      </w:r>
    </w:p>
    <w:p>
      <w:pPr>
        <w:pStyle w:val="PreformattedText"/>
        <w:bidi w:val="0"/>
        <w:jc w:val="left"/>
        <w:rPr/>
      </w:pPr>
      <w:r>
        <w:rPr>
          <w:rStyle w:val="SourceText"/>
        </w:rPr>
        <w:t xml:space="preserve">    </w:t>
      </w:r>
      <w:r>
        <w:rPr>
          <w:rStyle w:val="SourceText"/>
        </w:rPr>
        <w:t>emit("tak.provider.failover_selected", request, alternate)</w:t>
      </w:r>
    </w:p>
    <w:p>
      <w:pPr>
        <w:pStyle w:val="PreformattedText"/>
        <w:bidi w:val="0"/>
        <w:jc w:val="left"/>
        <w:rPr/>
      </w:pPr>
      <w:r>
        <w:rPr>
          <w:rStyle w:val="SourceText"/>
        </w:rPr>
        <w:t xml:space="preserve">    </w:t>
      </w:r>
      <w:r>
        <w:rPr>
          <w:rStyle w:val="SourceText"/>
        </w:rPr>
        <w:t>retry = executeWithProvider(request, alternate)</w:t>
      </w:r>
    </w:p>
    <w:p>
      <w:pPr>
        <w:pStyle w:val="PreformattedText"/>
        <w:bidi w:val="0"/>
        <w:jc w:val="left"/>
        <w:rPr/>
      </w:pPr>
      <w:r>
        <w:rPr>
          <w:rStyle w:val="SourceText"/>
        </w:rPr>
        <w:t xml:space="preserve">    </w:t>
      </w:r>
      <w:r>
        <w:rPr>
          <w:rStyle w:val="SourceText"/>
        </w:rPr>
        <w:t>lastResult = retry</w:t>
      </w:r>
    </w:p>
    <w:p>
      <w:pPr>
        <w:pStyle w:val="PreformattedText"/>
        <w:bidi w:val="0"/>
        <w:jc w:val="left"/>
        <w:rPr/>
      </w:pPr>
      <w:r>
        <w:rPr>
          <w:rStyle w:val="SourceText"/>
        </w:rPr>
        <w:t xml:space="preserve">    </w:t>
      </w:r>
      <w:r>
        <w:rPr>
          <w:rStyle w:val="SourceText"/>
        </w:rPr>
        <w:t>if retry.success:</w:t>
      </w:r>
    </w:p>
    <w:p>
      <w:pPr>
        <w:pStyle w:val="PreformattedText"/>
        <w:bidi w:val="0"/>
        <w:jc w:val="left"/>
        <w:rPr/>
      </w:pPr>
      <w:r>
        <w:rPr>
          <w:rStyle w:val="SourceText"/>
        </w:rPr>
        <w:t xml:space="preserve">      </w:t>
      </w:r>
      <w:r>
        <w:rPr>
          <w:rStyle w:val="SourceText"/>
        </w:rPr>
        <w:t>emit("tak.inference.completed", request, retry)</w:t>
      </w:r>
    </w:p>
    <w:p>
      <w:pPr>
        <w:pStyle w:val="PreformattedText"/>
        <w:bidi w:val="0"/>
        <w:jc w:val="left"/>
        <w:rPr/>
      </w:pPr>
      <w:r>
        <w:rPr>
          <w:rStyle w:val="SourceText"/>
        </w:rPr>
        <w:t xml:space="preserve">      </w:t>
      </w:r>
      <w:r>
        <w:rPr>
          <w:rStyle w:val="SourceText"/>
        </w:rPr>
        <w:t>return retry</w:t>
      </w:r>
    </w:p>
    <w:p>
      <w:pPr>
        <w:pStyle w:val="PreformattedText"/>
        <w:bidi w:val="0"/>
        <w:jc w:val="left"/>
        <w:rPr/>
      </w:pPr>
      <w:r>
        <w:rPr/>
      </w:r>
    </w:p>
    <w:p>
      <w:pPr>
        <w:pStyle w:val="PreformattedText"/>
        <w:bidi w:val="0"/>
        <w:jc w:val="left"/>
        <w:rPr/>
      </w:pPr>
      <w:r>
        <w:rPr>
          <w:rStyle w:val="SourceText"/>
        </w:rPr>
        <w:t xml:space="preserve">  </w:t>
      </w:r>
      <w:r>
        <w:rPr>
          <w:rStyle w:val="SourceText"/>
        </w:rPr>
        <w:t>if lastResult.retry_after_window is not null:</w:t>
      </w:r>
    </w:p>
    <w:p>
      <w:pPr>
        <w:pStyle w:val="PreformattedText"/>
        <w:bidi w:val="0"/>
        <w:jc w:val="left"/>
        <w:rPr/>
      </w:pPr>
      <w:r>
        <w:rPr>
          <w:rStyle w:val="SourceText"/>
        </w:rPr>
        <w:t xml:space="preserve">    </w:t>
      </w:r>
      <w:r>
        <w:rPr>
          <w:rStyle w:val="SourceText"/>
        </w:rPr>
        <w:t>queue.defer(</w:t>
      </w:r>
    </w:p>
    <w:p>
      <w:pPr>
        <w:pStyle w:val="PreformattedText"/>
        <w:bidi w:val="0"/>
        <w:jc w:val="left"/>
        <w:rPr/>
      </w:pPr>
      <w:r>
        <w:rPr>
          <w:rStyle w:val="SourceText"/>
        </w:rPr>
        <w:t xml:space="preserve">      </w:t>
      </w:r>
      <w:r>
        <w:rPr>
          <w:rStyle w:val="SourceText"/>
        </w:rPr>
        <w:t>request,</w:t>
      </w:r>
    </w:p>
    <w:p>
      <w:pPr>
        <w:pStyle w:val="PreformattedText"/>
        <w:bidi w:val="0"/>
        <w:jc w:val="left"/>
        <w:rPr/>
      </w:pPr>
      <w:r>
        <w:rPr>
          <w:rStyle w:val="SourceText"/>
        </w:rPr>
        <w:t xml:space="preserve">      </w:t>
      </w:r>
      <w:r>
        <w:rPr>
          <w:rStyle w:val="SourceText"/>
        </w:rPr>
        <w:t>reason = "retry_after_window",</w:t>
      </w:r>
    </w:p>
    <w:p>
      <w:pPr>
        <w:pStyle w:val="PreformattedText"/>
        <w:bidi w:val="0"/>
        <w:jc w:val="left"/>
        <w:rPr/>
      </w:pPr>
      <w:r>
        <w:rPr>
          <w:rStyle w:val="SourceText"/>
        </w:rPr>
        <w:t xml:space="preserve">      </w:t>
      </w:r>
      <w:r>
        <w:rPr>
          <w:rStyle w:val="SourceText"/>
        </w:rPr>
        <w:t>next_eligible_time = lastResult.retry_after_window</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emit("tak.queue.deferred", request, lastResult)</w:t>
      </w:r>
    </w:p>
    <w:p>
      <w:pPr>
        <w:pStyle w:val="PreformattedText"/>
        <w:bidi w:val="0"/>
        <w:jc w:val="left"/>
        <w:rPr/>
      </w:pPr>
      <w:r>
        <w:rPr>
          <w:rStyle w:val="SourceText"/>
        </w:rPr>
        <w:t xml:space="preserve">    </w:t>
      </w:r>
      <w:r>
        <w:rPr>
          <w:rStyle w:val="SourceText"/>
        </w:rPr>
        <w:t>return deferredToUser(request, lastResult)</w:t>
      </w:r>
    </w:p>
    <w:p>
      <w:pPr>
        <w:pStyle w:val="PreformattedText"/>
        <w:bidi w:val="0"/>
        <w:jc w:val="left"/>
        <w:rPr/>
      </w:pPr>
      <w:r>
        <w:rPr/>
      </w:r>
    </w:p>
    <w:p>
      <w:pPr>
        <w:pStyle w:val="PreformattedText"/>
        <w:bidi w:val="0"/>
        <w:jc w:val="left"/>
        <w:rPr/>
      </w:pPr>
      <w:r>
        <w:rPr>
          <w:rStyle w:val="SourceText"/>
        </w:rPr>
        <w:t xml:space="preserve">  </w:t>
      </w:r>
      <w:r>
        <w:rPr>
          <w:rStyle w:val="SourceText"/>
        </w:rPr>
        <w:t>escalateToHuman(</w:t>
      </w:r>
    </w:p>
    <w:p>
      <w:pPr>
        <w:pStyle w:val="PreformattedText"/>
        <w:bidi w:val="0"/>
        <w:jc w:val="left"/>
        <w:rPr/>
      </w:pPr>
      <w:r>
        <w:rPr>
          <w:rStyle w:val="SourceText"/>
        </w:rPr>
        <w:t xml:space="preserve">    </w:t>
      </w:r>
      <w:r>
        <w:rPr>
          <w:rStyle w:val="SourceText"/>
        </w:rPr>
        <w:t>request,</w:t>
      </w:r>
    </w:p>
    <w:p>
      <w:pPr>
        <w:pStyle w:val="PreformattedText"/>
        <w:bidi w:val="0"/>
        <w:jc w:val="left"/>
        <w:rPr/>
      </w:pPr>
      <w:r>
        <w:rPr>
          <w:rStyle w:val="SourceText"/>
        </w:rPr>
        <w:t xml:space="preserve">    </w:t>
      </w:r>
      <w:r>
        <w:rPr>
          <w:rStyle w:val="SourceText"/>
        </w:rPr>
        <w:t>incident_class = classifyProviderIncident(lastResult),</w:t>
      </w:r>
    </w:p>
    <w:p>
      <w:pPr>
        <w:pStyle w:val="PreformattedText"/>
        <w:bidi w:val="0"/>
        <w:jc w:val="left"/>
        <w:rPr/>
      </w:pPr>
      <w:r>
        <w:rPr>
          <w:rStyle w:val="SourceText"/>
        </w:rPr>
        <w:t xml:space="preserve">    </w:t>
      </w:r>
      <w:r>
        <w:rPr>
          <w:rStyle w:val="SourceText"/>
        </w:rPr>
        <w:t>evidence = lastResult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emit("tak.hitl.escalated", request, lastResult)</w:t>
      </w:r>
    </w:p>
    <w:p>
      <w:pPr>
        <w:pStyle w:val="PreformattedText"/>
        <w:bidi w:val="0"/>
        <w:spacing w:before="0" w:after="283"/>
        <w:jc w:val="left"/>
        <w:rPr/>
      </w:pPr>
      <w:r>
        <w:rPr>
          <w:rStyle w:val="SourceText"/>
        </w:rPr>
        <w:t xml:space="preserve">  </w:t>
      </w:r>
      <w:r>
        <w:rPr>
          <w:rStyle w:val="SourceText"/>
        </w:rPr>
        <w:t>return escalationNotice(request, lastResult)</w:t>
      </w:r>
    </w:p>
    <w:p>
      <w:pPr>
        <w:pStyle w:val="BodyText"/>
        <w:bidi w:val="0"/>
        <w:jc w:val="left"/>
        <w:rPr/>
      </w:pPr>
      <w:r>
        <w:rPr/>
        <w:t>At minimum, this behavior demonstrates:</w:t>
      </w:r>
    </w:p>
    <w:p>
      <w:pPr>
        <w:pStyle w:val="BodyText"/>
        <w:numPr>
          <w:ilvl w:val="0"/>
          <w:numId w:val="47"/>
        </w:numPr>
        <w:tabs>
          <w:tab w:val="clear" w:pos="1134"/>
          <w:tab w:val="left" w:pos="709" w:leader="none"/>
        </w:tabs>
        <w:bidi w:val="0"/>
        <w:spacing w:before="0" w:after="0"/>
        <w:ind w:hanging="283" w:left="709"/>
        <w:jc w:val="left"/>
        <w:rPr/>
      </w:pPr>
      <w:r>
        <w:rPr/>
        <w:t xml:space="preserve">idempotent resumption and duplicate-prevention behavior </w:t>
      </w:r>
    </w:p>
    <w:p>
      <w:pPr>
        <w:pStyle w:val="BodyText"/>
        <w:numPr>
          <w:ilvl w:val="0"/>
          <w:numId w:val="47"/>
        </w:numPr>
        <w:tabs>
          <w:tab w:val="clear" w:pos="1134"/>
          <w:tab w:val="left" w:pos="709" w:leader="none"/>
        </w:tabs>
        <w:bidi w:val="0"/>
        <w:spacing w:before="0" w:after="0"/>
        <w:ind w:hanging="283" w:left="709"/>
        <w:jc w:val="left"/>
        <w:rPr/>
      </w:pPr>
      <w:r>
        <w:rPr/>
        <w:t xml:space="preserve">provider budget is checked before execution </w:t>
      </w:r>
    </w:p>
    <w:p>
      <w:pPr>
        <w:pStyle w:val="BodyText"/>
        <w:numPr>
          <w:ilvl w:val="0"/>
          <w:numId w:val="47"/>
        </w:numPr>
        <w:tabs>
          <w:tab w:val="clear" w:pos="1134"/>
          <w:tab w:val="left" w:pos="709" w:leader="none"/>
        </w:tabs>
        <w:bidi w:val="0"/>
        <w:spacing w:before="0" w:after="0"/>
        <w:ind w:hanging="283" w:left="709"/>
        <w:jc w:val="left"/>
        <w:rPr/>
      </w:pPr>
      <w:r>
        <w:rPr/>
        <w:t xml:space="preserve">queueing is bounded and explicit </w:t>
      </w:r>
    </w:p>
    <w:p>
      <w:pPr>
        <w:pStyle w:val="BodyText"/>
        <w:numPr>
          <w:ilvl w:val="0"/>
          <w:numId w:val="47"/>
        </w:numPr>
        <w:tabs>
          <w:tab w:val="clear" w:pos="1134"/>
          <w:tab w:val="left" w:pos="709" w:leader="none"/>
        </w:tabs>
        <w:bidi w:val="0"/>
        <w:spacing w:before="0" w:after="0"/>
        <w:ind w:hanging="283" w:left="709"/>
        <w:jc w:val="left"/>
        <w:rPr/>
      </w:pPr>
      <w:r>
        <w:rPr/>
        <w:t xml:space="preserve">failover is policy-controlled rather than opportunistic </w:t>
      </w:r>
    </w:p>
    <w:p>
      <w:pPr>
        <w:pStyle w:val="BodyText"/>
        <w:numPr>
          <w:ilvl w:val="0"/>
          <w:numId w:val="47"/>
        </w:numPr>
        <w:tabs>
          <w:tab w:val="clear" w:pos="1134"/>
          <w:tab w:val="left" w:pos="709" w:leader="none"/>
        </w:tabs>
        <w:bidi w:val="0"/>
        <w:spacing w:before="0" w:after="0"/>
        <w:ind w:hanging="283" w:left="709"/>
        <w:jc w:val="left"/>
        <w:rPr/>
      </w:pPr>
      <w:r>
        <w:rPr/>
        <w:t xml:space="preserve">retry-after windows are first-class runtime state </w:t>
      </w:r>
    </w:p>
    <w:p>
      <w:pPr>
        <w:pStyle w:val="BodyText"/>
        <w:numPr>
          <w:ilvl w:val="0"/>
          <w:numId w:val="47"/>
        </w:numPr>
        <w:tabs>
          <w:tab w:val="clear" w:pos="1134"/>
          <w:tab w:val="left" w:pos="709" w:leader="none"/>
        </w:tabs>
        <w:bidi w:val="0"/>
        <w:ind w:hanging="283" w:left="709"/>
        <w:jc w:val="left"/>
        <w:rPr/>
      </w:pPr>
      <w:r>
        <w:rPr/>
        <w:t xml:space="preserve">unresolved provider or governance incidents escalate to humans </w:t>
      </w:r>
    </w:p>
    <w:p>
      <w:pPr>
        <w:pStyle w:val="Heading3"/>
        <w:bidi w:val="0"/>
        <w:jc w:val="left"/>
        <w:rPr/>
      </w:pPr>
      <w:r>
        <w:rPr/>
        <w:t>8.10 Example Runtime Event Shapes</w:t>
      </w:r>
    </w:p>
    <w:p>
      <w:pPr>
        <w:pStyle w:val="BodyText"/>
        <w:bidi w:val="0"/>
        <w:jc w:val="left"/>
        <w:rPr/>
      </w:pPr>
      <w:r>
        <w:rPr>
          <w:rStyle w:val="SourceText"/>
        </w:rPr>
        <w:t>TAK</w:t>
      </w:r>
      <w:r>
        <w:rPr/>
        <w:t xml:space="preserve"> implementations </w:t>
      </w:r>
      <w:r>
        <w:rPr>
          <w:rStyle w:val="SourceText"/>
        </w:rPr>
        <w:t>SHOULD</w:t>
      </w:r>
      <w:r>
        <w:rPr/>
        <w:t xml:space="preserve"> make runtime state machine-readable even when the user-facing UI remains conversational.</w:t>
      </w:r>
    </w:p>
    <w:p>
      <w:pPr>
        <w:pStyle w:val="BodyText"/>
        <w:bidi w:val="0"/>
        <w:jc w:val="left"/>
        <w:rPr/>
      </w:pPr>
      <w:r>
        <w:rPr/>
        <w:t>Illustrative examples:</w:t>
      </w:r>
    </w:p>
    <w:p>
      <w:pPr>
        <w:pStyle w:val="PreformattedText"/>
        <w:bidi w:val="0"/>
        <w:jc w:val="left"/>
        <w:rPr/>
      </w:pPr>
      <w:r>
        <w:rPr>
          <w:rStyle w:val="SourceText"/>
        </w:rPr>
        <w:t>{</w:t>
      </w:r>
    </w:p>
    <w:p>
      <w:pPr>
        <w:pStyle w:val="PreformattedText"/>
        <w:bidi w:val="0"/>
        <w:jc w:val="left"/>
        <w:rPr/>
      </w:pPr>
      <w:r>
        <w:rPr>
          <w:rStyle w:val="SourceText"/>
        </w:rPr>
        <w:t xml:space="preserve">  </w:t>
      </w:r>
      <w:r>
        <w:rPr>
          <w:rStyle w:val="SourceText"/>
        </w:rPr>
        <w:t>"event_type": "tak.queue.admitted",</w:t>
      </w:r>
    </w:p>
    <w:p>
      <w:pPr>
        <w:pStyle w:val="PreformattedText"/>
        <w:bidi w:val="0"/>
        <w:jc w:val="left"/>
        <w:rPr/>
      </w:pPr>
      <w:r>
        <w:rPr>
          <w:rStyle w:val="SourceText"/>
        </w:rPr>
        <w:t xml:space="preserve">  </w:t>
      </w:r>
      <w:r>
        <w:rPr>
          <w:rStyle w:val="SourceText"/>
        </w:rPr>
        <w:t>"agent_id": "AGT-ORCH-200",</w:t>
      </w:r>
    </w:p>
    <w:p>
      <w:pPr>
        <w:pStyle w:val="PreformattedText"/>
        <w:bidi w:val="0"/>
        <w:jc w:val="left"/>
        <w:rPr/>
      </w:pPr>
      <w:r>
        <w:rPr>
          <w:rStyle w:val="SourceText"/>
        </w:rPr>
        <w:t xml:space="preserve">  </w:t>
      </w:r>
      <w:r>
        <w:rPr>
          <w:rStyle w:val="SourceText"/>
        </w:rPr>
        <w:t>"principal_id": "HR-200",</w:t>
      </w:r>
    </w:p>
    <w:p>
      <w:pPr>
        <w:pStyle w:val="PreformattedText"/>
        <w:bidi w:val="0"/>
        <w:jc w:val="left"/>
        <w:rPr/>
      </w:pPr>
      <w:r>
        <w:rPr>
          <w:rStyle w:val="SourceText"/>
        </w:rPr>
        <w:t xml:space="preserve">  </w:t>
      </w:r>
      <w:r>
        <w:rPr>
          <w:rStyle w:val="SourceText"/>
        </w:rPr>
        <w:t>"request_id": "req-7d1a",</w:t>
      </w:r>
    </w:p>
    <w:p>
      <w:pPr>
        <w:pStyle w:val="PreformattedText"/>
        <w:bidi w:val="0"/>
        <w:jc w:val="left"/>
        <w:rPr/>
      </w:pPr>
      <w:r>
        <w:rPr>
          <w:rStyle w:val="SourceText"/>
        </w:rPr>
        <w:t xml:space="preserve">  </w:t>
      </w:r>
      <w:r>
        <w:rPr>
          <w:rStyle w:val="SourceText"/>
        </w:rPr>
        <w:t>"task_class": "architecture-review",</w:t>
      </w:r>
    </w:p>
    <w:p>
      <w:pPr>
        <w:pStyle w:val="PreformattedText"/>
        <w:bidi w:val="0"/>
        <w:jc w:val="left"/>
        <w:rPr/>
      </w:pPr>
      <w:r>
        <w:rPr>
          <w:rStyle w:val="SourceText"/>
        </w:rPr>
        <w:t xml:space="preserve">  </w:t>
      </w:r>
      <w:r>
        <w:rPr>
          <w:rStyle w:val="SourceText"/>
        </w:rPr>
        <w:t>"capability_tier": "reasoning-high",</w:t>
      </w:r>
    </w:p>
    <w:p>
      <w:pPr>
        <w:pStyle w:val="PreformattedText"/>
        <w:bidi w:val="0"/>
        <w:jc w:val="left"/>
        <w:rPr/>
      </w:pPr>
      <w:r>
        <w:rPr>
          <w:rStyle w:val="SourceText"/>
        </w:rPr>
        <w:t xml:space="preserve">  </w:t>
      </w:r>
      <w:r>
        <w:rPr>
          <w:rStyle w:val="SourceText"/>
        </w:rPr>
        <w:t>"provider": "anthropic",</w:t>
      </w:r>
    </w:p>
    <w:p>
      <w:pPr>
        <w:pStyle w:val="PreformattedText"/>
        <w:bidi w:val="0"/>
        <w:jc w:val="left"/>
        <w:rPr/>
      </w:pPr>
      <w:r>
        <w:rPr>
          <w:rStyle w:val="SourceText"/>
        </w:rPr>
        <w:t xml:space="preserve">  </w:t>
      </w:r>
      <w:r>
        <w:rPr>
          <w:rStyle w:val="SourceText"/>
        </w:rPr>
        <w:t>"model": "claude-opus-4-6",</w:t>
      </w:r>
    </w:p>
    <w:p>
      <w:pPr>
        <w:pStyle w:val="PreformattedText"/>
        <w:bidi w:val="0"/>
        <w:jc w:val="left"/>
        <w:rPr/>
      </w:pPr>
      <w:r>
        <w:rPr>
          <w:rStyle w:val="SourceText"/>
        </w:rPr>
        <w:t xml:space="preserve">  </w:t>
      </w:r>
      <w:r>
        <w:rPr>
          <w:rStyle w:val="SourceText"/>
        </w:rPr>
        <w:t>"queue_depth": 3,</w:t>
      </w:r>
    </w:p>
    <w:p>
      <w:pPr>
        <w:pStyle w:val="PreformattedText"/>
        <w:bidi w:val="0"/>
        <w:jc w:val="left"/>
        <w:rPr/>
      </w:pPr>
      <w:r>
        <w:rPr>
          <w:rStyle w:val="SourceText"/>
        </w:rPr>
        <w:t xml:space="preserve">  </w:t>
      </w:r>
      <w:r>
        <w:rPr>
          <w:rStyle w:val="SourceText"/>
        </w:rPr>
        <w:t>"created_at": "2026-05-11T14:06:12Z"</w:t>
      </w:r>
    </w:p>
    <w:p>
      <w:pPr>
        <w:pStyle w:val="PreformattedText"/>
        <w:bidi w:val="0"/>
        <w:spacing w:before="0" w:after="283"/>
        <w:jc w:val="left"/>
        <w:rPr/>
      </w:pPr>
      <w:r>
        <w:rPr>
          <w:rStyle w:val="SourceText"/>
        </w:rPr>
        <w:t>}</w:t>
      </w:r>
    </w:p>
    <w:p>
      <w:pPr>
        <w:pStyle w:val="PreformattedText"/>
        <w:bidi w:val="0"/>
        <w:jc w:val="left"/>
        <w:rPr/>
      </w:pPr>
      <w:r>
        <w:rPr>
          <w:rStyle w:val="SourceText"/>
        </w:rPr>
        <w:t>{</w:t>
      </w:r>
    </w:p>
    <w:p>
      <w:pPr>
        <w:pStyle w:val="PreformattedText"/>
        <w:bidi w:val="0"/>
        <w:jc w:val="left"/>
        <w:rPr/>
      </w:pPr>
      <w:r>
        <w:rPr>
          <w:rStyle w:val="SourceText"/>
        </w:rPr>
        <w:t xml:space="preserve">  </w:t>
      </w:r>
      <w:r>
        <w:rPr>
          <w:rStyle w:val="SourceText"/>
        </w:rPr>
        <w:t>"event_type": "tak.provider.backpressure",</w:t>
      </w:r>
    </w:p>
    <w:p>
      <w:pPr>
        <w:pStyle w:val="PreformattedText"/>
        <w:bidi w:val="0"/>
        <w:jc w:val="left"/>
        <w:rPr/>
      </w:pPr>
      <w:r>
        <w:rPr>
          <w:rStyle w:val="SourceText"/>
        </w:rPr>
        <w:t xml:space="preserve">  </w:t>
      </w:r>
      <w:r>
        <w:rPr>
          <w:rStyle w:val="SourceText"/>
        </w:rPr>
        <w:t>"agent_id": "AGT-ORCH-200",</w:t>
      </w:r>
    </w:p>
    <w:p>
      <w:pPr>
        <w:pStyle w:val="PreformattedText"/>
        <w:bidi w:val="0"/>
        <w:jc w:val="left"/>
        <w:rPr/>
      </w:pPr>
      <w:r>
        <w:rPr>
          <w:rStyle w:val="SourceText"/>
        </w:rPr>
        <w:t xml:space="preserve">  </w:t>
      </w:r>
      <w:r>
        <w:rPr>
          <w:rStyle w:val="SourceText"/>
        </w:rPr>
        <w:t>"request_id": "req-7d1a",</w:t>
      </w:r>
    </w:p>
    <w:p>
      <w:pPr>
        <w:pStyle w:val="PreformattedText"/>
        <w:bidi w:val="0"/>
        <w:jc w:val="left"/>
        <w:rPr/>
      </w:pPr>
      <w:r>
        <w:rPr>
          <w:rStyle w:val="SourceText"/>
        </w:rPr>
        <w:t xml:space="preserve">  </w:t>
      </w:r>
      <w:r>
        <w:rPr>
          <w:rStyle w:val="SourceText"/>
        </w:rPr>
        <w:t>"provider": "anthropic",</w:t>
      </w:r>
    </w:p>
    <w:p>
      <w:pPr>
        <w:pStyle w:val="PreformattedText"/>
        <w:bidi w:val="0"/>
        <w:jc w:val="left"/>
        <w:rPr/>
      </w:pPr>
      <w:r>
        <w:rPr>
          <w:rStyle w:val="SourceText"/>
        </w:rPr>
        <w:t xml:space="preserve">  </w:t>
      </w:r>
      <w:r>
        <w:rPr>
          <w:rStyle w:val="SourceText"/>
        </w:rPr>
        <w:t>"reason": "token_throughput_limit",</w:t>
      </w:r>
    </w:p>
    <w:p>
      <w:pPr>
        <w:pStyle w:val="PreformattedText"/>
        <w:bidi w:val="0"/>
        <w:jc w:val="left"/>
        <w:rPr/>
      </w:pPr>
      <w:r>
        <w:rPr>
          <w:rStyle w:val="SourceText"/>
        </w:rPr>
        <w:t xml:space="preserve">  </w:t>
      </w:r>
      <w:r>
        <w:rPr>
          <w:rStyle w:val="SourceText"/>
        </w:rPr>
        <w:t>"retry_after_seconds": 45,</w:t>
      </w:r>
    </w:p>
    <w:p>
      <w:pPr>
        <w:pStyle w:val="PreformattedText"/>
        <w:bidi w:val="0"/>
        <w:jc w:val="left"/>
        <w:rPr/>
      </w:pPr>
      <w:r>
        <w:rPr>
          <w:rStyle w:val="SourceText"/>
        </w:rPr>
        <w:t xml:space="preserve">  </w:t>
      </w:r>
      <w:r>
        <w:rPr>
          <w:rStyle w:val="SourceText"/>
        </w:rPr>
        <w:t>"budget_state": {</w:t>
      </w:r>
    </w:p>
    <w:p>
      <w:pPr>
        <w:pStyle w:val="PreformattedText"/>
        <w:bidi w:val="0"/>
        <w:jc w:val="left"/>
        <w:rPr/>
      </w:pPr>
      <w:r>
        <w:rPr>
          <w:rStyle w:val="SourceText"/>
        </w:rPr>
        <w:t xml:space="preserve">    </w:t>
      </w:r>
      <w:r>
        <w:rPr>
          <w:rStyle w:val="SourceText"/>
        </w:rPr>
        <w:t>"daily_remaining": 142000,</w:t>
      </w:r>
    </w:p>
    <w:p>
      <w:pPr>
        <w:pStyle w:val="PreformattedText"/>
        <w:bidi w:val="0"/>
        <w:jc w:val="left"/>
        <w:rPr/>
      </w:pPr>
      <w:r>
        <w:rPr>
          <w:rStyle w:val="SourceText"/>
        </w:rPr>
        <w:t xml:space="preserve">    </w:t>
      </w:r>
      <w:r>
        <w:rPr>
          <w:rStyle w:val="SourceText"/>
        </w:rPr>
        <w:t>"burst_state": "exhausted"</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"created_at": "2026-05-11T14:06:14Z"</w:t>
      </w:r>
    </w:p>
    <w:p>
      <w:pPr>
        <w:pStyle w:val="PreformattedText"/>
        <w:bidi w:val="0"/>
        <w:spacing w:before="0" w:after="283"/>
        <w:jc w:val="left"/>
        <w:rPr/>
      </w:pPr>
      <w:r>
        <w:rPr>
          <w:rStyle w:val="SourceText"/>
        </w:rPr>
        <w:t>}</w:t>
      </w:r>
    </w:p>
    <w:p>
      <w:pPr>
        <w:pStyle w:val="PreformattedText"/>
        <w:bidi w:val="0"/>
        <w:jc w:val="left"/>
        <w:rPr/>
      </w:pPr>
      <w:r>
        <w:rPr>
          <w:rStyle w:val="SourceText"/>
        </w:rPr>
        <w:t>{</w:t>
      </w:r>
    </w:p>
    <w:p>
      <w:pPr>
        <w:pStyle w:val="PreformattedText"/>
        <w:bidi w:val="0"/>
        <w:jc w:val="left"/>
        <w:rPr/>
      </w:pPr>
      <w:r>
        <w:rPr>
          <w:rStyle w:val="SourceText"/>
        </w:rPr>
        <w:t xml:space="preserve">  </w:t>
      </w:r>
      <w:r>
        <w:rPr>
          <w:rStyle w:val="SourceText"/>
        </w:rPr>
        <w:t>"event_type": "tak.provider.failover_selected",</w:t>
      </w:r>
    </w:p>
    <w:p>
      <w:pPr>
        <w:pStyle w:val="PreformattedText"/>
        <w:bidi w:val="0"/>
        <w:jc w:val="left"/>
        <w:rPr/>
      </w:pPr>
      <w:r>
        <w:rPr>
          <w:rStyle w:val="SourceText"/>
        </w:rPr>
        <w:t xml:space="preserve">  </w:t>
      </w:r>
      <w:r>
        <w:rPr>
          <w:rStyle w:val="SourceText"/>
        </w:rPr>
        <w:t>"agent_id": "AGT-ORCH-200",</w:t>
      </w:r>
    </w:p>
    <w:p>
      <w:pPr>
        <w:pStyle w:val="PreformattedText"/>
        <w:bidi w:val="0"/>
        <w:jc w:val="left"/>
        <w:rPr/>
      </w:pPr>
      <w:r>
        <w:rPr>
          <w:rStyle w:val="SourceText"/>
        </w:rPr>
        <w:t xml:space="preserve">  </w:t>
      </w:r>
      <w:r>
        <w:rPr>
          <w:rStyle w:val="SourceText"/>
        </w:rPr>
        <w:t>"request_id": "req-7d1a",</w:t>
      </w:r>
    </w:p>
    <w:p>
      <w:pPr>
        <w:pStyle w:val="PreformattedText"/>
        <w:bidi w:val="0"/>
        <w:jc w:val="left"/>
        <w:rPr/>
      </w:pPr>
      <w:r>
        <w:rPr>
          <w:rStyle w:val="SourceText"/>
        </w:rPr>
        <w:t xml:space="preserve">  </w:t>
      </w:r>
      <w:r>
        <w:rPr>
          <w:rStyle w:val="SourceText"/>
        </w:rPr>
        <w:t>"primary_provider": "anthropic",</w:t>
      </w:r>
    </w:p>
    <w:p>
      <w:pPr>
        <w:pStyle w:val="PreformattedText"/>
        <w:bidi w:val="0"/>
        <w:jc w:val="left"/>
        <w:rPr/>
      </w:pPr>
      <w:r>
        <w:rPr>
          <w:rStyle w:val="SourceText"/>
        </w:rPr>
        <w:t xml:space="preserve">  </w:t>
      </w:r>
      <w:r>
        <w:rPr>
          <w:rStyle w:val="SourceText"/>
        </w:rPr>
        <w:t>"primary_model": "claude-opus-4-6",</w:t>
      </w:r>
    </w:p>
    <w:p>
      <w:pPr>
        <w:pStyle w:val="PreformattedText"/>
        <w:bidi w:val="0"/>
        <w:jc w:val="left"/>
        <w:rPr/>
      </w:pPr>
      <w:r>
        <w:rPr>
          <w:rStyle w:val="SourceText"/>
        </w:rPr>
        <w:t xml:space="preserve">  </w:t>
      </w:r>
      <w:r>
        <w:rPr>
          <w:rStyle w:val="SourceText"/>
        </w:rPr>
        <w:t>"alternate_provider": "openai",</w:t>
      </w:r>
    </w:p>
    <w:p>
      <w:pPr>
        <w:pStyle w:val="PreformattedText"/>
        <w:bidi w:val="0"/>
        <w:jc w:val="left"/>
        <w:rPr/>
      </w:pPr>
      <w:r>
        <w:rPr>
          <w:rStyle w:val="SourceText"/>
        </w:rPr>
        <w:t xml:space="preserve">  </w:t>
      </w:r>
      <w:r>
        <w:rPr>
          <w:rStyle w:val="SourceText"/>
        </w:rPr>
        <w:t>"alternate_model": "gpt-5.4",</w:t>
      </w:r>
    </w:p>
    <w:p>
      <w:pPr>
        <w:pStyle w:val="PreformattedText"/>
        <w:bidi w:val="0"/>
        <w:jc w:val="left"/>
        <w:rPr/>
      </w:pPr>
      <w:r>
        <w:rPr>
          <w:rStyle w:val="SourceText"/>
        </w:rPr>
        <w:t xml:space="preserve">  </w:t>
      </w:r>
      <w:r>
        <w:rPr>
          <w:rStyle w:val="SourceText"/>
        </w:rPr>
        <w:t>"policy_basis": [</w:t>
      </w:r>
    </w:p>
    <w:p>
      <w:pPr>
        <w:pStyle w:val="PreformattedText"/>
        <w:bidi w:val="0"/>
        <w:jc w:val="left"/>
        <w:rPr/>
      </w:pPr>
      <w:r>
        <w:rPr>
          <w:rStyle w:val="SourceText"/>
        </w:rPr>
        <w:t xml:space="preserve">    </w:t>
      </w:r>
      <w:r>
        <w:rPr>
          <w:rStyle w:val="SourceText"/>
        </w:rPr>
        <w:t>"capability_tier_match",</w:t>
      </w:r>
    </w:p>
    <w:p>
      <w:pPr>
        <w:pStyle w:val="PreformattedText"/>
        <w:bidi w:val="0"/>
        <w:jc w:val="left"/>
        <w:rPr/>
      </w:pPr>
      <w:r>
        <w:rPr>
          <w:rStyle w:val="SourceText"/>
        </w:rPr>
        <w:t xml:space="preserve">    </w:t>
      </w:r>
      <w:r>
        <w:rPr>
          <w:rStyle w:val="SourceText"/>
        </w:rPr>
        <w:t>"approved_for_internal_confidential"</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"created_at": "2026-05-11T14:06:16Z"</w:t>
      </w:r>
    </w:p>
    <w:p>
      <w:pPr>
        <w:pStyle w:val="PreformattedText"/>
        <w:bidi w:val="0"/>
        <w:spacing w:before="0" w:after="283"/>
        <w:jc w:val="left"/>
        <w:rPr/>
      </w:pPr>
      <w:r>
        <w:rPr>
          <w:rStyle w:val="SourceText"/>
        </w:rPr>
        <w:t>}</w:t>
      </w:r>
    </w:p>
    <w:p>
      <w:pPr>
        <w:pStyle w:val="PreformattedText"/>
        <w:bidi w:val="0"/>
        <w:jc w:val="left"/>
        <w:rPr/>
      </w:pPr>
      <w:r>
        <w:rPr>
          <w:rStyle w:val="SourceText"/>
        </w:rPr>
        <w:t>{</w:t>
      </w:r>
    </w:p>
    <w:p>
      <w:pPr>
        <w:pStyle w:val="PreformattedText"/>
        <w:bidi w:val="0"/>
        <w:jc w:val="left"/>
        <w:rPr/>
      </w:pPr>
      <w:r>
        <w:rPr>
          <w:rStyle w:val="SourceText"/>
        </w:rPr>
        <w:t xml:space="preserve">  </w:t>
      </w:r>
      <w:r>
        <w:rPr>
          <w:rStyle w:val="SourceText"/>
        </w:rPr>
        <w:t>"event_type": "tak.hitl.escalated",</w:t>
      </w:r>
    </w:p>
    <w:p>
      <w:pPr>
        <w:pStyle w:val="PreformattedText"/>
        <w:bidi w:val="0"/>
        <w:jc w:val="left"/>
        <w:rPr/>
      </w:pPr>
      <w:r>
        <w:rPr>
          <w:rStyle w:val="SourceText"/>
        </w:rPr>
        <w:t xml:space="preserve">  </w:t>
      </w:r>
      <w:r>
        <w:rPr>
          <w:rStyle w:val="SourceText"/>
        </w:rPr>
        <w:t>"agent_id": "AGT-ORCH-200",</w:t>
      </w:r>
    </w:p>
    <w:p>
      <w:pPr>
        <w:pStyle w:val="PreformattedText"/>
        <w:bidi w:val="0"/>
        <w:jc w:val="left"/>
        <w:rPr/>
      </w:pPr>
      <w:r>
        <w:rPr>
          <w:rStyle w:val="SourceText"/>
        </w:rPr>
        <w:t xml:space="preserve">  </w:t>
      </w:r>
      <w:r>
        <w:rPr>
          <w:rStyle w:val="SourceText"/>
        </w:rPr>
        <w:t>"request_id": "req-7d1a",</w:t>
      </w:r>
    </w:p>
    <w:p>
      <w:pPr>
        <w:pStyle w:val="PreformattedText"/>
        <w:bidi w:val="0"/>
        <w:jc w:val="left"/>
        <w:rPr/>
      </w:pPr>
      <w:r>
        <w:rPr>
          <w:rStyle w:val="SourceText"/>
        </w:rPr>
        <w:t xml:space="preserve">  </w:t>
      </w:r>
      <w:r>
        <w:rPr>
          <w:rStyle w:val="SourceText"/>
        </w:rPr>
        <w:t>"incident_class": "provider_auth_or_contract_failure",</w:t>
      </w:r>
    </w:p>
    <w:p>
      <w:pPr>
        <w:pStyle w:val="PreformattedText"/>
        <w:bidi w:val="0"/>
        <w:jc w:val="left"/>
        <w:rPr/>
      </w:pPr>
      <w:r>
        <w:rPr>
          <w:rStyle w:val="SourceText"/>
        </w:rPr>
        <w:t xml:space="preserve">  </w:t>
      </w:r>
      <w:r>
        <w:rPr>
          <w:rStyle w:val="SourceText"/>
        </w:rPr>
        <w:t>"needs_human_action": true,</w:t>
      </w:r>
    </w:p>
    <w:p>
      <w:pPr>
        <w:pStyle w:val="PreformattedText"/>
        <w:bidi w:val="0"/>
        <w:jc w:val="left"/>
        <w:rPr/>
      </w:pPr>
      <w:r>
        <w:rPr>
          <w:rStyle w:val="SourceText"/>
        </w:rPr>
        <w:t xml:space="preserve">  </w:t>
      </w:r>
      <w:r>
        <w:rPr>
          <w:rStyle w:val="SourceText"/>
        </w:rPr>
        <w:t>"gaid_scope_violation_detected": false,</w:t>
      </w:r>
    </w:p>
    <w:p>
      <w:pPr>
        <w:pStyle w:val="PreformattedText"/>
        <w:bidi w:val="0"/>
        <w:jc w:val="left"/>
        <w:rPr/>
      </w:pPr>
      <w:r>
        <w:rPr>
          <w:rStyle w:val="SourceText"/>
        </w:rPr>
        <w:t xml:space="preserve">  </w:t>
      </w:r>
      <w:r>
        <w:rPr>
          <w:rStyle w:val="SourceText"/>
        </w:rPr>
        <w:t>"created_at": "2026-05-11T14:06:20Z"</w:t>
      </w:r>
    </w:p>
    <w:p>
      <w:pPr>
        <w:pStyle w:val="PreformattedText"/>
        <w:bidi w:val="0"/>
        <w:spacing w:before="0" w:after="283"/>
        <w:jc w:val="left"/>
        <w:rPr/>
      </w:pPr>
      <w:r>
        <w:rPr>
          <w:rStyle w:val="SourceText"/>
        </w:rPr>
        <w:t>}</w:t>
      </w:r>
    </w:p>
    <w:p>
      <w:pPr>
        <w:pStyle w:val="Heading3"/>
        <w:bidi w:val="0"/>
        <w:jc w:val="left"/>
        <w:rPr/>
      </w:pPr>
      <w:r>
        <w:rPr/>
        <w:t>8.11 Governed Activity Shapes and Triggers</w:t>
      </w:r>
    </w:p>
    <w:p>
      <w:pPr>
        <w:pStyle w:val="BodyText"/>
        <w:bidi w:val="0"/>
        <w:jc w:val="left"/>
        <w:rPr/>
      </w:pPr>
      <w:r>
        <w:rPr/>
        <w:t xml:space="preserve">Action gating governs a single tool call. It does not govern the standing activity that produces a stream of such calls. Once an agent can initiate work — on a schedule, on an external signal, or on a deadline — the governed unit is no longer the call but the </w:t>
      </w:r>
      <w:r>
        <w:rPr>
          <w:rStyle w:val="Strong"/>
        </w:rPr>
        <w:t>activity shape</w:t>
      </w:r>
      <w:r>
        <w:rPr/>
        <w:t>: the reusable structure describing what starts the work, what stages it moves through, what must be true to advance, who answers for it, and what ends it.</w:t>
      </w:r>
    </w:p>
    <w:p>
      <w:pPr>
        <w:pStyle w:val="BodyText"/>
        <w:bidi w:val="0"/>
        <w:jc w:val="left"/>
        <w:rPr/>
      </w:pPr>
      <w:r>
        <w:rPr/>
        <w:t xml:space="preserve">An implementation that supports agent-initiated or recurring work </w:t>
      </w:r>
      <w:r>
        <w:rPr>
          <w:rStyle w:val="SourceText"/>
        </w:rPr>
        <w:t>MUST</w:t>
      </w:r>
      <w:r>
        <w:rPr/>
        <w:t xml:space="preserve"> bind that work to a declared activity shape. Each shape </w:t>
      </w:r>
      <w:r>
        <w:rPr>
          <w:rStyle w:val="SourceText"/>
        </w:rPr>
        <w:t>MUST</w:t>
      </w:r>
      <w:r>
        <w:rPr/>
        <w:t xml:space="preserve"> declare:</w:t>
      </w:r>
    </w:p>
    <w:p>
      <w:pPr>
        <w:pStyle w:val="BodyText"/>
        <w:numPr>
          <w:ilvl w:val="0"/>
          <w:numId w:val="48"/>
        </w:numPr>
        <w:tabs>
          <w:tab w:val="clear" w:pos="1134"/>
          <w:tab w:val="left" w:pos="709" w:leader="none"/>
        </w:tabs>
        <w:bidi w:val="0"/>
        <w:spacing w:before="0" w:after="0"/>
        <w:ind w:hanging="283" w:left="709"/>
        <w:jc w:val="left"/>
        <w:rPr/>
      </w:pPr>
      <w:r>
        <w:rPr/>
        <w:t xml:space="preserve">a stable identifier and version </w:t>
      </w:r>
    </w:p>
    <w:p>
      <w:pPr>
        <w:pStyle w:val="BodyText"/>
        <w:numPr>
          <w:ilvl w:val="0"/>
          <w:numId w:val="48"/>
        </w:numPr>
        <w:tabs>
          <w:tab w:val="clear" w:pos="1134"/>
          <w:tab w:val="left" w:pos="709" w:leader="none"/>
        </w:tabs>
        <w:bidi w:val="0"/>
        <w:spacing w:before="0" w:after="0"/>
        <w:ind w:hanging="283" w:left="709"/>
        <w:jc w:val="left"/>
        <w:rPr/>
      </w:pPr>
      <w:r>
        <w:rPr/>
        <w:t xml:space="preserve">its </w:t>
      </w:r>
      <w:r>
        <w:rPr>
          <w:rStyle w:val="Strong"/>
        </w:rPr>
        <w:t>trigger set</w:t>
      </w:r>
      <w:r>
        <w:rPr/>
        <w:t xml:space="preserve"> — the conditions that start or advance it </w:t>
      </w:r>
    </w:p>
    <w:p>
      <w:pPr>
        <w:pStyle w:val="BodyText"/>
        <w:numPr>
          <w:ilvl w:val="0"/>
          <w:numId w:val="48"/>
        </w:numPr>
        <w:tabs>
          <w:tab w:val="clear" w:pos="1134"/>
          <w:tab w:val="left" w:pos="709" w:leader="none"/>
        </w:tabs>
        <w:bidi w:val="0"/>
        <w:spacing w:before="0" w:after="0"/>
        <w:ind w:hanging="283" w:left="709"/>
        <w:jc w:val="left"/>
        <w:rPr/>
      </w:pPr>
      <w:r>
        <w:rPr/>
        <w:t xml:space="preserve">an </w:t>
      </w:r>
      <w:r>
        <w:rPr>
          <w:rStyle w:val="Strong"/>
        </w:rPr>
        <w:t>accountable principal</w:t>
      </w:r>
      <w:r>
        <w:rPr/>
        <w:t xml:space="preserve"> for each stage </w:t>
      </w:r>
    </w:p>
    <w:p>
      <w:pPr>
        <w:pStyle w:val="BodyText"/>
        <w:numPr>
          <w:ilvl w:val="0"/>
          <w:numId w:val="48"/>
        </w:numPr>
        <w:tabs>
          <w:tab w:val="clear" w:pos="1134"/>
          <w:tab w:val="left" w:pos="709" w:leader="none"/>
        </w:tabs>
        <w:bidi w:val="0"/>
        <w:spacing w:before="0" w:after="0"/>
        <w:ind w:hanging="283" w:left="709"/>
        <w:jc w:val="left"/>
        <w:rPr/>
      </w:pPr>
      <w:r>
        <w:rPr/>
        <w:t xml:space="preserve">the </w:t>
      </w:r>
      <w:r>
        <w:rPr>
          <w:rStyle w:val="Strong"/>
        </w:rPr>
        <w:t>advance conditions</w:t>
      </w:r>
      <w:r>
        <w:rPr/>
        <w:t xml:space="preserve"> for each stage, and which advances require a governed decision under §8.4 rather than a status change </w:t>
      </w:r>
    </w:p>
    <w:p>
      <w:pPr>
        <w:pStyle w:val="BodyText"/>
        <w:numPr>
          <w:ilvl w:val="0"/>
          <w:numId w:val="48"/>
        </w:numPr>
        <w:tabs>
          <w:tab w:val="clear" w:pos="1134"/>
          <w:tab w:val="left" w:pos="709" w:leader="none"/>
        </w:tabs>
        <w:bidi w:val="0"/>
        <w:spacing w:before="0" w:after="0"/>
        <w:ind w:hanging="283" w:left="709"/>
        <w:jc w:val="left"/>
        <w:rPr/>
      </w:pPr>
      <w:r>
        <w:rPr>
          <w:rStyle w:val="Strong"/>
        </w:rPr>
        <w:t>stop conditions</w:t>
      </w:r>
      <w:r>
        <w:rPr/>
        <w:t xml:space="preserve">, including the failure exit and not only the successful one </w:t>
      </w:r>
    </w:p>
    <w:p>
      <w:pPr>
        <w:pStyle w:val="BodyText"/>
        <w:numPr>
          <w:ilvl w:val="0"/>
          <w:numId w:val="48"/>
        </w:numPr>
        <w:tabs>
          <w:tab w:val="clear" w:pos="1134"/>
          <w:tab w:val="left" w:pos="709" w:leader="none"/>
        </w:tabs>
        <w:bidi w:val="0"/>
        <w:spacing w:before="0" w:after="0"/>
        <w:ind w:hanging="283" w:left="709"/>
        <w:jc w:val="left"/>
        <w:rPr/>
      </w:pPr>
      <w:r>
        <w:rPr/>
        <w:t xml:space="preserve">a </w:t>
      </w:r>
      <w:r>
        <w:rPr>
          <w:rStyle w:val="Strong"/>
        </w:rPr>
        <w:t>review point</w:t>
      </w:r>
      <w:r>
        <w:rPr/>
        <w:t xml:space="preserve"> at which the activity is examined regardless of whether it has progressed </w:t>
      </w:r>
    </w:p>
    <w:p>
      <w:pPr>
        <w:pStyle w:val="BodyText"/>
        <w:numPr>
          <w:ilvl w:val="0"/>
          <w:numId w:val="48"/>
        </w:numPr>
        <w:tabs>
          <w:tab w:val="clear" w:pos="1134"/>
          <w:tab w:val="left" w:pos="709" w:leader="none"/>
        </w:tabs>
        <w:bidi w:val="0"/>
        <w:ind w:hanging="283" w:left="709"/>
        <w:jc w:val="left"/>
        <w:rPr/>
      </w:pPr>
      <w:r>
        <w:rPr/>
        <w:t xml:space="preserve">the </w:t>
      </w:r>
      <w:r>
        <w:rPr>
          <w:rStyle w:val="Strong"/>
        </w:rPr>
        <w:t>evidence</w:t>
      </w:r>
      <w:r>
        <w:rPr/>
        <w:t xml:space="preserve"> the activity is expected to leave behind </w:t>
      </w:r>
    </w:p>
    <w:p>
      <w:pPr>
        <w:pStyle w:val="BodyText"/>
        <w:bidi w:val="0"/>
        <w:jc w:val="left"/>
        <w:rPr/>
      </w:pPr>
      <w:r>
        <w:rPr/>
        <w:t xml:space="preserve">A conforming implementation </w:t>
      </w:r>
      <w:r>
        <w:rPr>
          <w:rStyle w:val="SourceText"/>
        </w:rPr>
        <w:t>MUST NOT</w:t>
      </w:r>
      <w:r>
        <w:rPr/>
        <w:t xml:space="preserve"> allow recurring or agent-initiated work to run without stop conditions and a review point. An activity that can start itself and cannot stop itself is an unbounded grant of authority, however narrow each individual tool call may be.</w:t>
      </w:r>
    </w:p>
    <w:p>
      <w:pPr>
        <w:pStyle w:val="Heading4"/>
        <w:bidi w:val="0"/>
        <w:jc w:val="left"/>
        <w:rPr/>
      </w:pPr>
      <w:r>
        <w:rPr/>
        <w:t>8.11.1 Trigger Classes</w:t>
      </w:r>
    </w:p>
    <w:p>
      <w:pPr>
        <w:pStyle w:val="BodyText"/>
        <w:bidi w:val="0"/>
        <w:jc w:val="left"/>
        <w:rPr/>
      </w:pPr>
      <w:r>
        <w:rPr/>
        <w:t xml:space="preserve">Triggers </w:t>
      </w:r>
      <w:r>
        <w:rPr>
          <w:rStyle w:val="SourceText"/>
        </w:rPr>
        <w:t>SHOULD</w:t>
      </w:r>
      <w:r>
        <w:rPr/>
        <w:t xml:space="preserve"> be declared from an explicit vocabulary so that the runtime can reason about what may start work. At minimum an implementation </w:t>
      </w:r>
      <w:r>
        <w:rPr>
          <w:rStyle w:val="SourceText"/>
        </w:rPr>
        <w:t>SHOULD</w:t>
      </w:r>
      <w:r>
        <w:rPr/>
        <w:t xml:space="preserve"> distinguish:</w:t>
      </w:r>
    </w:p>
    <w:tbl>
      <w:tblPr>
        <w:tblW w:w="9676" w:type="dxa"/>
        <w:jc w:val="left"/>
        <w:tblInd w:w="0" w:type="dxa"/>
        <w:tblLayout w:type="fixed"/>
        <w:tblCellMar>
          <w:top w:w="28" w:type="dxa"/>
          <w:left w:w="28" w:type="dxa"/>
          <w:bottom w:w="28" w:type="dxa"/>
          <w:right w:w="28" w:type="dxa"/>
        </w:tblCellMar>
      </w:tblPr>
      <w:tblGrid>
        <w:gridCol w:w="2425"/>
        <w:gridCol w:w="7251"/>
      </w:tblGrid>
      <w:tr>
        <w:trPr>
          <w:tblHeader w:val="true"/>
        </w:trPr>
        <w:tc>
          <w:tcPr>
            <w:tcW w:w="2425" w:type="dxa"/>
            <w:tcBorders/>
            <w:vAlign w:val="center"/>
          </w:tcPr>
          <w:p>
            <w:pPr>
              <w:pStyle w:val="TableHeading"/>
              <w:suppressLineNumbers/>
              <w:bidi w:val="0"/>
              <w:spacing w:before="0" w:after="283"/>
              <w:jc w:val="center"/>
              <w:rPr/>
            </w:pPr>
            <w:r>
              <w:rPr/>
              <w:t>Trigger class</w:t>
            </w:r>
          </w:p>
        </w:tc>
        <w:tc>
          <w:tcPr>
            <w:tcW w:w="7251" w:type="dxa"/>
            <w:tcBorders/>
            <w:vAlign w:val="center"/>
          </w:tcPr>
          <w:p>
            <w:pPr>
              <w:pStyle w:val="TableHeading"/>
              <w:suppressLineNumbers/>
              <w:bidi w:val="0"/>
              <w:spacing w:before="0" w:after="283"/>
              <w:jc w:val="center"/>
              <w:rPr/>
            </w:pPr>
            <w:r>
              <w:rPr/>
              <w:t>Starts work when</w:t>
            </w:r>
          </w:p>
        </w:tc>
      </w:tr>
      <w:tr>
        <w:trPr/>
        <w:tc>
          <w:tcPr>
            <w:tcW w:w="2425" w:type="dxa"/>
            <w:tcBorders/>
            <w:vAlign w:val="center"/>
          </w:tcPr>
          <w:p>
            <w:pPr>
              <w:pStyle w:val="TableContents"/>
              <w:bidi w:val="0"/>
              <w:spacing w:before="0" w:after="283"/>
              <w:jc w:val="left"/>
              <w:rPr/>
            </w:pPr>
            <w:r>
              <w:rPr>
                <w:rStyle w:val="SourceText"/>
              </w:rPr>
              <w:t>claim</w:t>
            </w:r>
          </w:p>
        </w:tc>
        <w:tc>
          <w:tcPr>
            <w:tcW w:w="7251" w:type="dxa"/>
            <w:tcBorders/>
            <w:vAlign w:val="center"/>
          </w:tcPr>
          <w:p>
            <w:pPr>
              <w:pStyle w:val="TableContents"/>
              <w:bidi w:val="0"/>
              <w:spacing w:before="0" w:after="283"/>
              <w:jc w:val="left"/>
              <w:rPr/>
            </w:pPr>
            <w:r>
              <w:rPr/>
              <w:t>A principal takes ownership of an identified unit of work</w:t>
            </w:r>
          </w:p>
        </w:tc>
      </w:tr>
      <w:tr>
        <w:trPr/>
        <w:tc>
          <w:tcPr>
            <w:tcW w:w="2425" w:type="dxa"/>
            <w:tcBorders/>
            <w:vAlign w:val="center"/>
          </w:tcPr>
          <w:p>
            <w:pPr>
              <w:pStyle w:val="TableContents"/>
              <w:bidi w:val="0"/>
              <w:spacing w:before="0" w:after="283"/>
              <w:jc w:val="left"/>
              <w:rPr/>
            </w:pPr>
            <w:r>
              <w:rPr>
                <w:rStyle w:val="SourceText"/>
              </w:rPr>
              <w:t>cadence</w:t>
            </w:r>
          </w:p>
        </w:tc>
        <w:tc>
          <w:tcPr>
            <w:tcW w:w="7251" w:type="dxa"/>
            <w:tcBorders/>
            <w:vAlign w:val="center"/>
          </w:tcPr>
          <w:p>
            <w:pPr>
              <w:pStyle w:val="TableContents"/>
              <w:bidi w:val="0"/>
              <w:spacing w:before="0" w:after="283"/>
              <w:jc w:val="left"/>
              <w:rPr/>
            </w:pPr>
            <w:r>
              <w:rPr/>
              <w:t>A schedule elapses, subject to the agent's proactivity setting</w:t>
            </w:r>
          </w:p>
        </w:tc>
      </w:tr>
      <w:tr>
        <w:trPr/>
        <w:tc>
          <w:tcPr>
            <w:tcW w:w="2425" w:type="dxa"/>
            <w:tcBorders/>
            <w:vAlign w:val="center"/>
          </w:tcPr>
          <w:p>
            <w:pPr>
              <w:pStyle w:val="TableContents"/>
              <w:bidi w:val="0"/>
              <w:spacing w:before="0" w:after="283"/>
              <w:jc w:val="left"/>
              <w:rPr/>
            </w:pPr>
            <w:r>
              <w:rPr>
                <w:rStyle w:val="SourceText"/>
              </w:rPr>
              <w:t>deadline-horizon</w:t>
            </w:r>
          </w:p>
        </w:tc>
        <w:tc>
          <w:tcPr>
            <w:tcW w:w="7251" w:type="dxa"/>
            <w:tcBorders/>
            <w:vAlign w:val="center"/>
          </w:tcPr>
          <w:p>
            <w:pPr>
              <w:pStyle w:val="TableContents"/>
              <w:bidi w:val="0"/>
              <w:spacing w:before="0" w:after="283"/>
              <w:jc w:val="left"/>
              <w:rPr/>
            </w:pPr>
            <w:r>
              <w:rPr/>
              <w:t>A recorded obligation, review, or expiry falls inside a look-ahead window</w:t>
            </w:r>
          </w:p>
        </w:tc>
      </w:tr>
      <w:tr>
        <w:trPr/>
        <w:tc>
          <w:tcPr>
            <w:tcW w:w="2425" w:type="dxa"/>
            <w:tcBorders/>
            <w:vAlign w:val="center"/>
          </w:tcPr>
          <w:p>
            <w:pPr>
              <w:pStyle w:val="TableContents"/>
              <w:bidi w:val="0"/>
              <w:spacing w:before="0" w:after="283"/>
              <w:jc w:val="left"/>
              <w:rPr/>
            </w:pPr>
            <w:r>
              <w:rPr>
                <w:rStyle w:val="SourceText"/>
              </w:rPr>
              <w:t>authority-change</w:t>
            </w:r>
          </w:p>
        </w:tc>
        <w:tc>
          <w:tcPr>
            <w:tcW w:w="7251" w:type="dxa"/>
            <w:tcBorders/>
            <w:vAlign w:val="center"/>
          </w:tcPr>
          <w:p>
            <w:pPr>
              <w:pStyle w:val="TableContents"/>
              <w:bidi w:val="0"/>
              <w:spacing w:before="0" w:after="283"/>
              <w:jc w:val="left"/>
              <w:rPr/>
            </w:pPr>
            <w:r>
              <w:rPr/>
              <w:t>An external source of record is observed to have changed</w:t>
            </w:r>
          </w:p>
        </w:tc>
      </w:tr>
      <w:tr>
        <w:trPr/>
        <w:tc>
          <w:tcPr>
            <w:tcW w:w="2425" w:type="dxa"/>
            <w:tcBorders/>
            <w:vAlign w:val="center"/>
          </w:tcPr>
          <w:p>
            <w:pPr>
              <w:pStyle w:val="TableContents"/>
              <w:bidi w:val="0"/>
              <w:spacing w:before="0" w:after="283"/>
              <w:jc w:val="left"/>
              <w:rPr/>
            </w:pPr>
            <w:r>
              <w:rPr>
                <w:rStyle w:val="SourceText"/>
              </w:rPr>
              <w:t>estate-drift</w:t>
            </w:r>
          </w:p>
        </w:tc>
        <w:tc>
          <w:tcPr>
            <w:tcW w:w="7251" w:type="dxa"/>
            <w:tcBorders/>
            <w:vAlign w:val="center"/>
          </w:tcPr>
          <w:p>
            <w:pPr>
              <w:pStyle w:val="TableContents"/>
              <w:bidi w:val="0"/>
              <w:spacing w:before="0" w:after="283"/>
              <w:jc w:val="left"/>
              <w:rPr/>
            </w:pPr>
            <w:r>
              <w:rPr/>
              <w:t>Observed state diverges from recorded state</w:t>
            </w:r>
          </w:p>
        </w:tc>
      </w:tr>
      <w:tr>
        <w:trPr/>
        <w:tc>
          <w:tcPr>
            <w:tcW w:w="2425" w:type="dxa"/>
            <w:tcBorders/>
            <w:vAlign w:val="center"/>
          </w:tcPr>
          <w:p>
            <w:pPr>
              <w:pStyle w:val="TableContents"/>
              <w:bidi w:val="0"/>
              <w:spacing w:before="0" w:after="283"/>
              <w:jc w:val="left"/>
              <w:rPr/>
            </w:pPr>
            <w:r>
              <w:rPr>
                <w:rStyle w:val="SourceText"/>
              </w:rPr>
              <w:t>evidence-decay</w:t>
            </w:r>
          </w:p>
        </w:tc>
        <w:tc>
          <w:tcPr>
            <w:tcW w:w="7251" w:type="dxa"/>
            <w:tcBorders/>
            <w:vAlign w:val="center"/>
          </w:tcPr>
          <w:p>
            <w:pPr>
              <w:pStyle w:val="TableContents"/>
              <w:bidi w:val="0"/>
              <w:spacing w:before="0" w:after="283"/>
              <w:jc w:val="left"/>
              <w:rPr/>
            </w:pPr>
            <w:r>
              <w:rPr/>
              <w:t>Evidence supporting a prior conclusion passes its freshness budget</w:t>
            </w:r>
          </w:p>
        </w:tc>
      </w:tr>
      <w:tr>
        <w:trPr/>
        <w:tc>
          <w:tcPr>
            <w:tcW w:w="2425" w:type="dxa"/>
            <w:tcBorders/>
            <w:vAlign w:val="center"/>
          </w:tcPr>
          <w:p>
            <w:pPr>
              <w:pStyle w:val="TableContents"/>
              <w:bidi w:val="0"/>
              <w:spacing w:before="0" w:after="283"/>
              <w:jc w:val="left"/>
              <w:rPr/>
            </w:pPr>
            <w:r>
              <w:rPr>
                <w:rStyle w:val="SourceText"/>
              </w:rPr>
              <w:t>escalation</w:t>
            </w:r>
          </w:p>
        </w:tc>
        <w:tc>
          <w:tcPr>
            <w:tcW w:w="7251" w:type="dxa"/>
            <w:tcBorders/>
            <w:vAlign w:val="center"/>
          </w:tcPr>
          <w:p>
            <w:pPr>
              <w:pStyle w:val="TableContents"/>
              <w:bidi w:val="0"/>
              <w:spacing w:before="0" w:after="283"/>
              <w:jc w:val="left"/>
              <w:rPr/>
            </w:pPr>
            <w:r>
              <w:rPr/>
              <w:t>Another activity escalates into this one</w:t>
            </w:r>
          </w:p>
        </w:tc>
      </w:tr>
    </w:tbl>
    <w:p>
      <w:pPr>
        <w:pStyle w:val="BodyText"/>
        <w:bidi w:val="0"/>
        <w:jc w:val="left"/>
        <w:rPr/>
      </w:pPr>
      <w:r>
        <w:rPr/>
        <w:t xml:space="preserve">A recorded intention that no trigger consumes — a stored cadence, review date, or expiry with no reader — </w:t>
      </w:r>
      <w:r>
        <w:rPr>
          <w:rStyle w:val="SourceText"/>
        </w:rPr>
        <w:t>SHOULD</w:t>
      </w:r>
      <w:r>
        <w:rPr/>
        <w:t xml:space="preserve"> be treated as a defect rather than as latent configuration. Such a field reads to an operator as a control that is in force, and behaves as one that is not.</w:t>
      </w:r>
    </w:p>
    <w:p>
      <w:pPr>
        <w:pStyle w:val="Heading4"/>
        <w:bidi w:val="0"/>
        <w:jc w:val="left"/>
        <w:rPr/>
      </w:pPr>
      <w:r>
        <w:rPr/>
        <w:t>8.11.2 Proactivity Does Not Widen a Shape</w:t>
      </w:r>
    </w:p>
    <w:p>
      <w:pPr>
        <w:pStyle w:val="BodyText"/>
        <w:bidi w:val="0"/>
        <w:jc w:val="left"/>
        <w:rPr/>
      </w:pPr>
      <w:r>
        <w:rPr/>
        <w:t xml:space="preserve">A proactivity or autonomy setting </w:t>
      </w:r>
      <w:r>
        <w:rPr>
          <w:rStyle w:val="SourceText"/>
        </w:rPr>
        <w:t>MAY</w:t>
      </w:r>
      <w:r>
        <w:rPr/>
        <w:t xml:space="preserve"> change how often a shape is triggered and how much of it proceeds without a human. It </w:t>
      </w:r>
      <w:r>
        <w:rPr>
          <w:rStyle w:val="SourceText"/>
        </w:rPr>
        <w:t>MUST NOT</w:t>
      </w:r>
      <w:r>
        <w:rPr/>
        <w:t xml:space="preserve"> change the shape's stop conditions, its accountable principal, its review point, or which advances require a governed decision. Those are properties of the activity, not of the agent's eagerness.</w:t>
      </w:r>
    </w:p>
    <w:p>
      <w:pPr>
        <w:pStyle w:val="BodyText"/>
        <w:bidi w:val="0"/>
        <w:jc w:val="left"/>
        <w:rPr/>
      </w:pPr>
      <w:r>
        <w:rPr/>
        <w:t xml:space="preserve">Where an agent exposes a proactivity control but is bound to no shape and no cadence trigger, the runtime </w:t>
      </w:r>
      <w:r>
        <w:rPr>
          <w:rStyle w:val="SourceText"/>
        </w:rPr>
        <w:t>SHOULD</w:t>
      </w:r>
      <w:r>
        <w:rPr/>
        <w:t xml:space="preserve"> say so rather than presenting a setting that has no effect.</w:t>
      </w:r>
    </w:p>
    <w:p>
      <w:pPr>
        <w:pStyle w:val="Heading2"/>
        <w:bidi w:val="0"/>
        <w:jc w:val="left"/>
        <w:rPr/>
      </w:pPr>
      <w:r>
        <w:rPr/>
        <w:t>9. Human-in-the-Loop and Oversight Tiers</w:t>
      </w:r>
    </w:p>
    <w:p>
      <w:pPr>
        <w:pStyle w:val="Heading3"/>
        <w:bidi w:val="0"/>
        <w:jc w:val="left"/>
        <w:rPr/>
      </w:pPr>
      <w:r>
        <w:rPr/>
        <w:t>9.1 HITL Tiers</w:t>
      </w:r>
    </w:p>
    <w:p>
      <w:pPr>
        <w:pStyle w:val="BodyText"/>
        <w:bidi w:val="0"/>
        <w:jc w:val="left"/>
        <w:rPr/>
      </w:pPr>
      <w:r>
        <w:rPr/>
        <w:t xml:space="preserve">A conforming implementation </w:t>
      </w:r>
      <w:r>
        <w:rPr>
          <w:rStyle w:val="SourceText"/>
        </w:rPr>
        <w:t>SHOULD</w:t>
      </w:r>
      <w:r>
        <w:rPr/>
        <w:t xml:space="preserve"> classify agents and actions by oversight tier. At minimum, the following conceptual levels </w:t>
      </w:r>
      <w:r>
        <w:rPr>
          <w:rStyle w:val="SourceText"/>
        </w:rPr>
        <w:t>SHOULD</w:t>
      </w:r>
      <w:r>
        <w:rPr/>
        <w:t xml:space="preserve"> exist:</w:t>
      </w:r>
    </w:p>
    <w:tbl>
      <w:tblPr>
        <w:tblW w:w="4694" w:type="dxa"/>
        <w:jc w:val="left"/>
        <w:tblInd w:w="0" w:type="dxa"/>
        <w:tblLayout w:type="fixed"/>
        <w:tblCellMar>
          <w:top w:w="28" w:type="dxa"/>
          <w:left w:w="28" w:type="dxa"/>
          <w:bottom w:w="28" w:type="dxa"/>
          <w:right w:w="28" w:type="dxa"/>
        </w:tblCellMar>
      </w:tblPr>
      <w:tblGrid>
        <w:gridCol w:w="560"/>
        <w:gridCol w:w="4134"/>
      </w:tblGrid>
      <w:tr>
        <w:trPr>
          <w:tblHeader w:val="true"/>
        </w:trPr>
        <w:tc>
          <w:tcPr>
            <w:tcW w:w="560" w:type="dxa"/>
            <w:tcBorders/>
            <w:vAlign w:val="center"/>
          </w:tcPr>
          <w:p>
            <w:pPr>
              <w:pStyle w:val="TableHeading"/>
              <w:suppressLineNumbers/>
              <w:bidi w:val="0"/>
              <w:spacing w:before="0" w:after="283"/>
              <w:jc w:val="center"/>
              <w:rPr/>
            </w:pPr>
            <w:r>
              <w:rPr/>
              <w:t>Tier</w:t>
            </w:r>
          </w:p>
        </w:tc>
        <w:tc>
          <w:tcPr>
            <w:tcW w:w="4134" w:type="dxa"/>
            <w:tcBorders/>
            <w:vAlign w:val="center"/>
          </w:tcPr>
          <w:p>
            <w:pPr>
              <w:pStyle w:val="TableHeading"/>
              <w:suppressLineNumbers/>
              <w:bidi w:val="0"/>
              <w:spacing w:before="0" w:after="283"/>
              <w:jc w:val="center"/>
              <w:rPr/>
            </w:pPr>
            <w:r>
              <w:rPr/>
              <w:t>Meaning</w:t>
            </w:r>
          </w:p>
        </w:tc>
      </w:tr>
      <w:tr>
        <w:trPr/>
        <w:tc>
          <w:tcPr>
            <w:tcW w:w="560" w:type="dxa"/>
            <w:tcBorders/>
            <w:vAlign w:val="center"/>
          </w:tcPr>
          <w:p>
            <w:pPr>
              <w:pStyle w:val="TableContents"/>
              <w:bidi w:val="0"/>
              <w:spacing w:before="0" w:after="283"/>
              <w:jc w:val="left"/>
              <w:rPr/>
            </w:pPr>
            <w:r>
              <w:rPr>
                <w:rStyle w:val="SourceText"/>
              </w:rPr>
              <w:t>0</w:t>
            </w:r>
          </w:p>
        </w:tc>
        <w:tc>
          <w:tcPr>
            <w:tcW w:w="4134" w:type="dxa"/>
            <w:tcBorders/>
            <w:vAlign w:val="center"/>
          </w:tcPr>
          <w:p>
            <w:pPr>
              <w:pStyle w:val="TableContents"/>
              <w:bidi w:val="0"/>
              <w:spacing w:before="0" w:after="283"/>
              <w:jc w:val="left"/>
              <w:rPr/>
            </w:pPr>
            <w:r>
              <w:rPr/>
              <w:t>blocked; no autonomous action permitted</w:t>
            </w:r>
          </w:p>
        </w:tc>
      </w:tr>
      <w:tr>
        <w:trPr/>
        <w:tc>
          <w:tcPr>
            <w:tcW w:w="560" w:type="dxa"/>
            <w:tcBorders/>
            <w:vAlign w:val="center"/>
          </w:tcPr>
          <w:p>
            <w:pPr>
              <w:pStyle w:val="TableContents"/>
              <w:bidi w:val="0"/>
              <w:spacing w:before="0" w:after="283"/>
              <w:jc w:val="left"/>
              <w:rPr/>
            </w:pPr>
            <w:r>
              <w:rPr>
                <w:rStyle w:val="SourceText"/>
              </w:rPr>
              <w:t>1</w:t>
            </w:r>
          </w:p>
        </w:tc>
        <w:tc>
          <w:tcPr>
            <w:tcW w:w="4134" w:type="dxa"/>
            <w:tcBorders/>
            <w:vAlign w:val="center"/>
          </w:tcPr>
          <w:p>
            <w:pPr>
              <w:pStyle w:val="TableContents"/>
              <w:bidi w:val="0"/>
              <w:spacing w:before="0" w:after="283"/>
              <w:jc w:val="left"/>
              <w:rPr/>
            </w:pPr>
            <w:r>
              <w:rPr/>
              <w:t>approve-before-execution</w:t>
            </w:r>
          </w:p>
        </w:tc>
      </w:tr>
      <w:tr>
        <w:trPr/>
        <w:tc>
          <w:tcPr>
            <w:tcW w:w="560" w:type="dxa"/>
            <w:tcBorders/>
            <w:vAlign w:val="center"/>
          </w:tcPr>
          <w:p>
            <w:pPr>
              <w:pStyle w:val="TableContents"/>
              <w:bidi w:val="0"/>
              <w:spacing w:before="0" w:after="283"/>
              <w:jc w:val="left"/>
              <w:rPr/>
            </w:pPr>
            <w:r>
              <w:rPr>
                <w:rStyle w:val="SourceText"/>
              </w:rPr>
              <w:t>2</w:t>
            </w:r>
          </w:p>
        </w:tc>
        <w:tc>
          <w:tcPr>
            <w:tcW w:w="4134" w:type="dxa"/>
            <w:tcBorders/>
            <w:vAlign w:val="center"/>
          </w:tcPr>
          <w:p>
            <w:pPr>
              <w:pStyle w:val="TableContents"/>
              <w:bidi w:val="0"/>
              <w:spacing w:before="0" w:after="283"/>
              <w:jc w:val="left"/>
              <w:rPr/>
            </w:pPr>
            <w:r>
              <w:rPr/>
              <w:t>review-after-execution</w:t>
            </w:r>
          </w:p>
        </w:tc>
      </w:tr>
      <w:tr>
        <w:trPr/>
        <w:tc>
          <w:tcPr>
            <w:tcW w:w="560" w:type="dxa"/>
            <w:tcBorders/>
            <w:vAlign w:val="center"/>
          </w:tcPr>
          <w:p>
            <w:pPr>
              <w:pStyle w:val="TableContents"/>
              <w:bidi w:val="0"/>
              <w:spacing w:before="0" w:after="283"/>
              <w:jc w:val="left"/>
              <w:rPr/>
            </w:pPr>
            <w:r>
              <w:rPr>
                <w:rStyle w:val="SourceText"/>
              </w:rPr>
              <w:t>3</w:t>
            </w:r>
          </w:p>
        </w:tc>
        <w:tc>
          <w:tcPr>
            <w:tcW w:w="4134" w:type="dxa"/>
            <w:tcBorders/>
            <w:vAlign w:val="center"/>
          </w:tcPr>
          <w:p>
            <w:pPr>
              <w:pStyle w:val="TableContents"/>
              <w:bidi w:val="0"/>
              <w:spacing w:before="0" w:after="283"/>
              <w:jc w:val="left"/>
              <w:rPr/>
            </w:pPr>
            <w:r>
              <w:rPr/>
              <w:t>autonomous with mandatory logging</w:t>
            </w:r>
          </w:p>
        </w:tc>
      </w:tr>
    </w:tbl>
    <w:p>
      <w:pPr>
        <w:pStyle w:val="Heading3"/>
        <w:bidi w:val="0"/>
        <w:jc w:val="left"/>
        <w:rPr/>
      </w:pPr>
      <w:r>
        <w:rPr/>
        <w:t>9.2 Enforcement</w:t>
      </w:r>
    </w:p>
    <w:p>
      <w:pPr>
        <w:pStyle w:val="BodyText"/>
        <w:bidi w:val="0"/>
        <w:jc w:val="left"/>
        <w:rPr/>
      </w:pPr>
      <w:r>
        <w:rPr/>
        <w:t xml:space="preserve">The runtime </w:t>
      </w:r>
      <w:r>
        <w:rPr>
          <w:rStyle w:val="SourceText"/>
        </w:rPr>
        <w:t>MUST</w:t>
      </w:r>
      <w:r>
        <w:rPr/>
        <w:t xml:space="preserve"> enforce the effective oversight tier at execution time. It is not sufficient to store a tier as metadata without affecting behavior.</w:t>
      </w:r>
    </w:p>
    <w:p>
      <w:pPr>
        <w:pStyle w:val="BodyText"/>
        <w:bidi w:val="0"/>
        <w:jc w:val="left"/>
        <w:rPr/>
      </w:pPr>
      <w:r>
        <w:rPr/>
        <w:t xml:space="preserve">The runtime </w:t>
      </w:r>
      <w:r>
        <w:rPr>
          <w:rStyle w:val="SourceText"/>
        </w:rPr>
        <w:t>MUST NOT</w:t>
      </w:r>
      <w:r>
        <w:rPr/>
        <w:t xml:space="preserve"> allow the model to self-upgrade its oversight tier.</w:t>
      </w:r>
    </w:p>
    <w:p>
      <w:pPr>
        <w:pStyle w:val="BodyText"/>
        <w:bidi w:val="0"/>
        <w:jc w:val="left"/>
        <w:rPr/>
      </w:pPr>
      <w:r>
        <w:rPr/>
        <w:t xml:space="preserve">The effective tier </w:t>
      </w:r>
      <w:r>
        <w:rPr>
          <w:rStyle w:val="SourceText"/>
        </w:rPr>
        <w:t>MUST</w:t>
      </w:r>
      <w:r>
        <w:rPr/>
        <w:t xml:space="preserve"> not exceed the lowest applicable ceiling established by authority, qualification status, data policy, regulation, contract, and evidence-earned autonomy.</w:t>
      </w:r>
    </w:p>
    <w:p>
      <w:pPr>
        <w:pStyle w:val="BodyText"/>
        <w:bidi w:val="0"/>
        <w:jc w:val="left"/>
        <w:rPr/>
      </w:pPr>
      <w:r>
        <w:rPr/>
        <w:t xml:space="preserve">Increasing proactivity or execution effort </w:t>
      </w:r>
      <w:r>
        <w:rPr>
          <w:rStyle w:val="SourceText"/>
        </w:rPr>
        <w:t>MUST NOT</w:t>
      </w:r>
      <w:r>
        <w:rPr/>
        <w:t xml:space="preserve"> increase that ceiling.</w:t>
      </w:r>
    </w:p>
    <w:p>
      <w:pPr>
        <w:pStyle w:val="Heading3"/>
        <w:bidi w:val="0"/>
        <w:jc w:val="left"/>
        <w:rPr/>
      </w:pPr>
      <w:r>
        <w:rPr/>
        <w:t>9.3 Supervisor Visibility</w:t>
      </w:r>
    </w:p>
    <w:p>
      <w:pPr>
        <w:pStyle w:val="BodyText"/>
        <w:bidi w:val="0"/>
        <w:jc w:val="left"/>
        <w:rPr/>
      </w:pPr>
      <w:r>
        <w:rPr/>
        <w:t xml:space="preserve">For </w:t>
      </w:r>
      <w:r>
        <w:rPr>
          <w:rStyle w:val="SourceText"/>
        </w:rPr>
        <w:t>TAK-Managed</w:t>
      </w:r>
      <w:r>
        <w:rPr/>
        <w:t xml:space="preserve"> and above, the runtime </w:t>
      </w:r>
      <w:r>
        <w:rPr>
          <w:rStyle w:val="SourceText"/>
        </w:rPr>
        <w:t>MUST</w:t>
      </w:r>
      <w:r>
        <w:rPr/>
        <w:t xml:space="preserve"> provide a human-supervisor-visible view of:</w:t>
      </w:r>
    </w:p>
    <w:p>
      <w:pPr>
        <w:pStyle w:val="BodyText"/>
        <w:numPr>
          <w:ilvl w:val="0"/>
          <w:numId w:val="49"/>
        </w:numPr>
        <w:tabs>
          <w:tab w:val="clear" w:pos="1134"/>
          <w:tab w:val="left" w:pos="709" w:leader="none"/>
        </w:tabs>
        <w:bidi w:val="0"/>
        <w:spacing w:before="0" w:after="0"/>
        <w:ind w:hanging="283" w:left="709"/>
        <w:jc w:val="left"/>
        <w:rPr/>
      </w:pPr>
      <w:r>
        <w:rPr/>
        <w:t xml:space="preserve">current oversight tier </w:t>
      </w:r>
    </w:p>
    <w:p>
      <w:pPr>
        <w:pStyle w:val="BodyText"/>
        <w:numPr>
          <w:ilvl w:val="0"/>
          <w:numId w:val="49"/>
        </w:numPr>
        <w:tabs>
          <w:tab w:val="clear" w:pos="1134"/>
          <w:tab w:val="left" w:pos="709" w:leader="none"/>
        </w:tabs>
        <w:bidi w:val="0"/>
        <w:spacing w:before="0" w:after="0"/>
        <w:ind w:hanging="283" w:left="709"/>
        <w:jc w:val="left"/>
        <w:rPr/>
      </w:pPr>
      <w:r>
        <w:rPr/>
        <w:t xml:space="preserve">available tools </w:t>
      </w:r>
    </w:p>
    <w:p>
      <w:pPr>
        <w:pStyle w:val="BodyText"/>
        <w:numPr>
          <w:ilvl w:val="0"/>
          <w:numId w:val="49"/>
        </w:numPr>
        <w:tabs>
          <w:tab w:val="clear" w:pos="1134"/>
          <w:tab w:val="left" w:pos="709" w:leader="none"/>
        </w:tabs>
        <w:bidi w:val="0"/>
        <w:spacing w:before="0" w:after="0"/>
        <w:ind w:hanging="283" w:left="709"/>
        <w:jc w:val="left"/>
        <w:rPr/>
      </w:pPr>
      <w:r>
        <w:rPr/>
        <w:t xml:space="preserve">recent actions </w:t>
      </w:r>
    </w:p>
    <w:p>
      <w:pPr>
        <w:pStyle w:val="BodyText"/>
        <w:numPr>
          <w:ilvl w:val="0"/>
          <w:numId w:val="49"/>
        </w:numPr>
        <w:tabs>
          <w:tab w:val="clear" w:pos="1134"/>
          <w:tab w:val="left" w:pos="709" w:leader="none"/>
        </w:tabs>
        <w:bidi w:val="0"/>
        <w:spacing w:before="0" w:after="0"/>
        <w:ind w:hanging="283" w:left="709"/>
        <w:jc w:val="left"/>
        <w:rPr/>
      </w:pPr>
      <w:r>
        <w:rPr/>
        <w:t xml:space="preserve">pending approvals </w:t>
      </w:r>
    </w:p>
    <w:p>
      <w:pPr>
        <w:pStyle w:val="BodyText"/>
        <w:numPr>
          <w:ilvl w:val="0"/>
          <w:numId w:val="49"/>
        </w:numPr>
        <w:tabs>
          <w:tab w:val="clear" w:pos="1134"/>
          <w:tab w:val="left" w:pos="709" w:leader="none"/>
        </w:tabs>
        <w:bidi w:val="0"/>
        <w:ind w:hanging="283" w:left="709"/>
        <w:jc w:val="left"/>
        <w:rPr/>
      </w:pPr>
      <w:r>
        <w:rPr/>
        <w:t xml:space="preserve">escalations and failures </w:t>
      </w:r>
    </w:p>
    <w:p>
      <w:pPr>
        <w:pStyle w:val="Heading2"/>
        <w:bidi w:val="0"/>
        <w:jc w:val="left"/>
        <w:rPr/>
      </w:pPr>
      <w:r>
        <w:rPr/>
        <w:t>10. Immutable Directives and Hidden Instruction Governance</w:t>
      </w:r>
    </w:p>
    <w:p>
      <w:pPr>
        <w:pStyle w:val="Heading3"/>
        <w:bidi w:val="0"/>
        <w:jc w:val="left"/>
        <w:rPr/>
      </w:pPr>
      <w:r>
        <w:rPr/>
        <w:t>10.1 Directive Sources</w:t>
      </w:r>
    </w:p>
    <w:p>
      <w:pPr>
        <w:pStyle w:val="BodyText"/>
        <w:bidi w:val="0"/>
        <w:jc w:val="left"/>
        <w:rPr/>
      </w:pPr>
      <w:r>
        <w:rPr/>
        <w:t xml:space="preserve">A conforming implementation </w:t>
      </w:r>
      <w:r>
        <w:rPr>
          <w:rStyle w:val="SourceText"/>
        </w:rPr>
        <w:t>MUST</w:t>
      </w:r>
      <w:r>
        <w:rPr/>
        <w:t xml:space="preserve"> distinguish between:</w:t>
      </w:r>
    </w:p>
    <w:p>
      <w:pPr>
        <w:pStyle w:val="BodyText"/>
        <w:numPr>
          <w:ilvl w:val="0"/>
          <w:numId w:val="50"/>
        </w:numPr>
        <w:tabs>
          <w:tab w:val="clear" w:pos="1134"/>
          <w:tab w:val="left" w:pos="709" w:leader="none"/>
        </w:tabs>
        <w:bidi w:val="0"/>
        <w:spacing w:before="0" w:after="0"/>
        <w:ind w:hanging="283" w:left="709"/>
        <w:jc w:val="left"/>
        <w:rPr/>
      </w:pPr>
      <w:r>
        <w:rPr/>
        <w:t xml:space="preserve">user conversation content </w:t>
      </w:r>
    </w:p>
    <w:p>
      <w:pPr>
        <w:pStyle w:val="BodyText"/>
        <w:numPr>
          <w:ilvl w:val="0"/>
          <w:numId w:val="50"/>
        </w:numPr>
        <w:tabs>
          <w:tab w:val="clear" w:pos="1134"/>
          <w:tab w:val="left" w:pos="709" w:leader="none"/>
        </w:tabs>
        <w:bidi w:val="0"/>
        <w:spacing w:before="0" w:after="0"/>
        <w:ind w:hanging="283" w:left="709"/>
        <w:jc w:val="left"/>
        <w:rPr/>
      </w:pPr>
      <w:r>
        <w:rPr/>
        <w:t xml:space="preserve">runtime directives </w:t>
      </w:r>
    </w:p>
    <w:p>
      <w:pPr>
        <w:pStyle w:val="BodyText"/>
        <w:numPr>
          <w:ilvl w:val="0"/>
          <w:numId w:val="50"/>
        </w:numPr>
        <w:tabs>
          <w:tab w:val="clear" w:pos="1134"/>
          <w:tab w:val="left" w:pos="709" w:leader="none"/>
        </w:tabs>
        <w:bidi w:val="0"/>
        <w:spacing w:before="0" w:after="0"/>
        <w:ind w:hanging="283" w:left="709"/>
        <w:jc w:val="left"/>
        <w:rPr/>
      </w:pPr>
      <w:r>
        <w:rPr/>
        <w:t xml:space="preserve">system or domain instructions </w:t>
      </w:r>
    </w:p>
    <w:p>
      <w:pPr>
        <w:pStyle w:val="BodyText"/>
        <w:numPr>
          <w:ilvl w:val="0"/>
          <w:numId w:val="50"/>
        </w:numPr>
        <w:tabs>
          <w:tab w:val="clear" w:pos="1134"/>
          <w:tab w:val="left" w:pos="709" w:leader="none"/>
        </w:tabs>
        <w:bidi w:val="0"/>
        <w:spacing w:before="0" w:after="0"/>
        <w:ind w:hanging="283" w:left="709"/>
        <w:jc w:val="left"/>
        <w:rPr/>
      </w:pPr>
      <w:r>
        <w:rPr/>
        <w:t xml:space="preserve">safety and sensitivity policies </w:t>
      </w:r>
    </w:p>
    <w:p>
      <w:pPr>
        <w:pStyle w:val="BodyText"/>
        <w:numPr>
          <w:ilvl w:val="0"/>
          <w:numId w:val="50"/>
        </w:numPr>
        <w:tabs>
          <w:tab w:val="clear" w:pos="1134"/>
          <w:tab w:val="left" w:pos="709" w:leader="none"/>
        </w:tabs>
        <w:bidi w:val="0"/>
        <w:ind w:hanging="283" w:left="709"/>
        <w:jc w:val="left"/>
        <w:rPr/>
      </w:pPr>
      <w:r>
        <w:rPr/>
        <w:t xml:space="preserve">agent identity and role instructions </w:t>
      </w:r>
    </w:p>
    <w:p>
      <w:pPr>
        <w:pStyle w:val="Heading3"/>
        <w:bidi w:val="0"/>
        <w:jc w:val="left"/>
        <w:rPr/>
      </w:pPr>
      <w:r>
        <w:rPr/>
        <w:t>10.2 Immutability</w:t>
      </w:r>
    </w:p>
    <w:p>
      <w:pPr>
        <w:pStyle w:val="BodyText"/>
        <w:bidi w:val="0"/>
        <w:jc w:val="left"/>
        <w:rPr/>
      </w:pPr>
      <w:r>
        <w:rPr/>
        <w:t xml:space="preserve">If a directive is marked immutable, the runtime </w:t>
      </w:r>
      <w:r>
        <w:rPr>
          <w:rStyle w:val="SourceText"/>
        </w:rPr>
        <w:t>MUST</w:t>
      </w:r>
      <w:r>
        <w:rPr/>
        <w:t xml:space="preserve"> ensure that:</w:t>
      </w:r>
    </w:p>
    <w:p>
      <w:pPr>
        <w:pStyle w:val="BodyText"/>
        <w:numPr>
          <w:ilvl w:val="0"/>
          <w:numId w:val="51"/>
        </w:numPr>
        <w:tabs>
          <w:tab w:val="clear" w:pos="1134"/>
          <w:tab w:val="left" w:pos="709" w:leader="none"/>
        </w:tabs>
        <w:bidi w:val="0"/>
        <w:spacing w:before="0" w:after="0"/>
        <w:ind w:hanging="283" w:left="709"/>
        <w:jc w:val="left"/>
        <w:rPr/>
      </w:pPr>
      <w:r>
        <w:rPr/>
        <w:t xml:space="preserve">the runtime presents and enforces it on every relevant governed call </w:t>
      </w:r>
    </w:p>
    <w:p>
      <w:pPr>
        <w:pStyle w:val="BodyText"/>
        <w:numPr>
          <w:ilvl w:val="0"/>
          <w:numId w:val="51"/>
        </w:numPr>
        <w:tabs>
          <w:tab w:val="clear" w:pos="1134"/>
          <w:tab w:val="left" w:pos="709" w:leader="none"/>
        </w:tabs>
        <w:bidi w:val="0"/>
        <w:spacing w:before="0" w:after="0"/>
        <w:ind w:hanging="283" w:left="709"/>
        <w:jc w:val="left"/>
        <w:rPr/>
      </w:pPr>
      <w:r>
        <w:rPr/>
        <w:t xml:space="preserve">contradictory user or downstream-agent instructions do not silently displace it </w:t>
      </w:r>
    </w:p>
    <w:p>
      <w:pPr>
        <w:pStyle w:val="BodyText"/>
        <w:numPr>
          <w:ilvl w:val="0"/>
          <w:numId w:val="51"/>
        </w:numPr>
        <w:tabs>
          <w:tab w:val="clear" w:pos="1134"/>
          <w:tab w:val="left" w:pos="709" w:leader="none"/>
        </w:tabs>
        <w:bidi w:val="0"/>
        <w:spacing w:before="0" w:after="0"/>
        <w:ind w:hanging="283" w:left="709"/>
        <w:jc w:val="left"/>
        <w:rPr/>
      </w:pPr>
      <w:r>
        <w:rPr/>
        <w:t xml:space="preserve">downstream agents cannot silently remove it </w:t>
      </w:r>
    </w:p>
    <w:p>
      <w:pPr>
        <w:pStyle w:val="BodyText"/>
        <w:numPr>
          <w:ilvl w:val="0"/>
          <w:numId w:val="51"/>
        </w:numPr>
        <w:tabs>
          <w:tab w:val="clear" w:pos="1134"/>
          <w:tab w:val="left" w:pos="709" w:leader="none"/>
        </w:tabs>
        <w:bidi w:val="0"/>
        <w:ind w:hanging="283" w:left="709"/>
        <w:jc w:val="left"/>
        <w:rPr/>
      </w:pPr>
      <w:r>
        <w:rPr/>
        <w:t xml:space="preserve">tool outputs cannot weaken it </w:t>
      </w:r>
    </w:p>
    <w:p>
      <w:pPr>
        <w:pStyle w:val="Heading3"/>
        <w:bidi w:val="0"/>
        <w:jc w:val="left"/>
        <w:rPr/>
      </w:pPr>
      <w:r>
        <w:rPr/>
        <w:t>10.3 Governance of Hidden Instructions</w:t>
      </w:r>
    </w:p>
    <w:p>
      <w:pPr>
        <w:pStyle w:val="BodyText"/>
        <w:bidi w:val="0"/>
        <w:jc w:val="left"/>
        <w:rPr/>
      </w:pPr>
      <w:r>
        <w:rPr/>
        <w:t xml:space="preserve">Because hidden instructions are a material governance surface, a </w:t>
      </w:r>
      <w:r>
        <w:rPr>
          <w:rStyle w:val="SourceText"/>
        </w:rPr>
        <w:t>TAK-Managed</w:t>
      </w:r>
      <w:r>
        <w:rPr/>
        <w:t xml:space="preserve"> or </w:t>
      </w:r>
      <w:r>
        <w:rPr>
          <w:rStyle w:val="SourceText"/>
        </w:rPr>
        <w:t>TAK-Assured</w:t>
      </w:r>
      <w:r>
        <w:rPr/>
        <w:t xml:space="preserve"> implementation </w:t>
      </w:r>
      <w:r>
        <w:rPr>
          <w:rStyle w:val="SourceText"/>
        </w:rPr>
        <w:t>MUST</w:t>
      </w:r>
      <w:r>
        <w:rPr/>
        <w:t xml:space="preserve"> maintain a reviewable record of:</w:t>
      </w:r>
    </w:p>
    <w:p>
      <w:pPr>
        <w:pStyle w:val="BodyText"/>
        <w:numPr>
          <w:ilvl w:val="0"/>
          <w:numId w:val="52"/>
        </w:numPr>
        <w:tabs>
          <w:tab w:val="clear" w:pos="1134"/>
          <w:tab w:val="left" w:pos="709" w:leader="none"/>
        </w:tabs>
        <w:bidi w:val="0"/>
        <w:spacing w:before="0" w:after="0"/>
        <w:ind w:hanging="283" w:left="709"/>
        <w:jc w:val="left"/>
        <w:rPr/>
      </w:pPr>
      <w:r>
        <w:rPr/>
        <w:t xml:space="preserve">directive class </w:t>
      </w:r>
    </w:p>
    <w:p>
      <w:pPr>
        <w:pStyle w:val="BodyText"/>
        <w:numPr>
          <w:ilvl w:val="0"/>
          <w:numId w:val="52"/>
        </w:numPr>
        <w:tabs>
          <w:tab w:val="clear" w:pos="1134"/>
          <w:tab w:val="left" w:pos="709" w:leader="none"/>
        </w:tabs>
        <w:bidi w:val="0"/>
        <w:spacing w:before="0" w:after="0"/>
        <w:ind w:hanging="283" w:left="709"/>
        <w:jc w:val="left"/>
        <w:rPr/>
      </w:pPr>
      <w:r>
        <w:rPr/>
        <w:t xml:space="preserve">owning authority </w:t>
      </w:r>
    </w:p>
    <w:p>
      <w:pPr>
        <w:pStyle w:val="BodyText"/>
        <w:numPr>
          <w:ilvl w:val="0"/>
          <w:numId w:val="52"/>
        </w:numPr>
        <w:tabs>
          <w:tab w:val="clear" w:pos="1134"/>
          <w:tab w:val="left" w:pos="709" w:leader="none"/>
        </w:tabs>
        <w:bidi w:val="0"/>
        <w:spacing w:before="0" w:after="0"/>
        <w:ind w:hanging="283" w:left="709"/>
        <w:jc w:val="left"/>
        <w:rPr/>
      </w:pPr>
      <w:r>
        <w:rPr/>
        <w:t xml:space="preserve">change control mechanism </w:t>
      </w:r>
    </w:p>
    <w:p>
      <w:pPr>
        <w:pStyle w:val="BodyText"/>
        <w:numPr>
          <w:ilvl w:val="0"/>
          <w:numId w:val="52"/>
        </w:numPr>
        <w:tabs>
          <w:tab w:val="clear" w:pos="1134"/>
          <w:tab w:val="left" w:pos="709" w:leader="none"/>
        </w:tabs>
        <w:bidi w:val="0"/>
        <w:spacing w:before="0" w:after="0"/>
        <w:ind w:hanging="283" w:left="709"/>
        <w:jc w:val="left"/>
        <w:rPr/>
      </w:pPr>
      <w:r>
        <w:rPr/>
        <w:t xml:space="preserve">effective version </w:t>
      </w:r>
    </w:p>
    <w:p>
      <w:pPr>
        <w:pStyle w:val="BodyText"/>
        <w:numPr>
          <w:ilvl w:val="0"/>
          <w:numId w:val="52"/>
        </w:numPr>
        <w:tabs>
          <w:tab w:val="clear" w:pos="1134"/>
          <w:tab w:val="left" w:pos="709" w:leader="none"/>
        </w:tabs>
        <w:bidi w:val="0"/>
        <w:ind w:hanging="283" w:left="709"/>
        <w:jc w:val="left"/>
        <w:rPr/>
      </w:pPr>
      <w:r>
        <w:rPr/>
        <w:t xml:space="preserve">deployment or activation date </w:t>
      </w:r>
    </w:p>
    <w:p>
      <w:pPr>
        <w:pStyle w:val="BodyText"/>
        <w:bidi w:val="0"/>
        <w:jc w:val="left"/>
        <w:rPr/>
      </w:pPr>
      <w:r>
        <w:rPr/>
        <w:t xml:space="preserve">The runtime </w:t>
      </w:r>
      <w:r>
        <w:rPr>
          <w:rStyle w:val="SourceText"/>
        </w:rPr>
        <w:t>SHOULD NOT</w:t>
      </w:r>
      <w:r>
        <w:rPr/>
        <w:t xml:space="preserve"> expose raw hidden prompts to end users by default, but it </w:t>
      </w:r>
      <w:r>
        <w:rPr>
          <w:rStyle w:val="SourceText"/>
        </w:rPr>
        <w:t>MUST</w:t>
      </w:r>
      <w:r>
        <w:rPr/>
        <w:t xml:space="preserve"> preserve enough metadata for authorized audit and governance review.</w:t>
      </w:r>
    </w:p>
    <w:p>
      <w:pPr>
        <w:pStyle w:val="BodyText"/>
        <w:bidi w:val="0"/>
        <w:jc w:val="left"/>
        <w:rPr/>
      </w:pPr>
      <w:r>
        <w:rPr/>
        <w:drawing>
          <wp:inline distT="0" distB="0" distL="0" distR="0">
            <wp:extent cx="22402800" cy="23345775"/>
            <wp:effectExtent l="0" t="0" r="0" b="0"/>
            <wp:docPr id="5" name="Image5" descr="TAK directive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TAK directive flow"/>
                    <pic:cNvPicPr>
                      <a:picLocks noChangeAspect="1" noChangeArrowheads="1"/>
                    </pic:cNvPicPr>
                  </pic:nvPicPr>
                  <pic:blipFill>
                    <a:blip r:embed="rId53"/>
                    <a:stretch>
                      <a:fillRect/>
                    </a:stretch>
                  </pic:blipFill>
                  <pic:spPr bwMode="auto">
                    <a:xfrm>
                      <a:off x="0" y="0"/>
                      <a:ext cx="22402800" cy="23345775"/>
                    </a:xfrm>
                    <a:prstGeom prst="rect">
                      <a:avLst/>
                    </a:prstGeom>
                    <a:noFill/>
                  </pic:spPr>
                </pic:pic>
              </a:graphicData>
            </a:graphic>
          </wp:inline>
        </w:drawing>
      </w:r>
    </w:p>
    <w:p>
      <w:pPr>
        <w:pStyle w:val="BodyText"/>
        <w:bidi w:val="0"/>
        <w:jc w:val="left"/>
        <w:rPr/>
      </w:pPr>
      <w:r>
        <w:rPr>
          <w:rStyle w:val="Emphasis"/>
        </w:rPr>
        <w:t>Figure 3. Directives are not merely prompt text. They are a governed runtime control surface.</w:t>
      </w:r>
    </w:p>
    <w:p>
      <w:pPr>
        <w:pStyle w:val="Heading2"/>
        <w:bidi w:val="0"/>
        <w:jc w:val="left"/>
        <w:rPr/>
      </w:pPr>
      <w:r>
        <w:rPr/>
        <w:t>11. Delegation, Coordination, and Specialist Topology</w:t>
      </w:r>
    </w:p>
    <w:p>
      <w:pPr>
        <w:pStyle w:val="Heading3"/>
        <w:bidi w:val="0"/>
        <w:jc w:val="left"/>
        <w:rPr/>
      </w:pPr>
      <w:r>
        <w:rPr/>
        <w:t>11.1 Delegation Narrowing</w:t>
      </w:r>
    </w:p>
    <w:p>
      <w:pPr>
        <w:pStyle w:val="BodyText"/>
        <w:bidi w:val="0"/>
        <w:jc w:val="left"/>
        <w:rPr/>
      </w:pPr>
      <w:r>
        <w:rPr/>
        <w:t>When an agent delegates to another agent, the delegated agent:</w:t>
      </w:r>
    </w:p>
    <w:p>
      <w:pPr>
        <w:pStyle w:val="BodyText"/>
        <w:numPr>
          <w:ilvl w:val="0"/>
          <w:numId w:val="53"/>
        </w:numPr>
        <w:tabs>
          <w:tab w:val="clear" w:pos="1134"/>
          <w:tab w:val="left" w:pos="709" w:leader="none"/>
        </w:tabs>
        <w:bidi w:val="0"/>
        <w:spacing w:before="0" w:after="0"/>
        <w:ind w:hanging="283" w:left="709"/>
        <w:jc w:val="left"/>
        <w:rPr/>
      </w:pPr>
      <w:r>
        <w:rPr>
          <w:rStyle w:val="SourceText"/>
        </w:rPr>
        <w:t>MUST</w:t>
      </w:r>
      <w:r>
        <w:rPr/>
        <w:t xml:space="preserve"> receive only the authority and context needed for the delegated task </w:t>
      </w:r>
    </w:p>
    <w:p>
      <w:pPr>
        <w:pStyle w:val="BodyText"/>
        <w:numPr>
          <w:ilvl w:val="0"/>
          <w:numId w:val="53"/>
        </w:numPr>
        <w:tabs>
          <w:tab w:val="clear" w:pos="1134"/>
          <w:tab w:val="left" w:pos="709" w:leader="none"/>
        </w:tabs>
        <w:bidi w:val="0"/>
        <w:spacing w:before="0" w:after="0"/>
        <w:ind w:hanging="283" w:left="709"/>
        <w:jc w:val="left"/>
        <w:rPr/>
      </w:pPr>
      <w:r>
        <w:rPr>
          <w:rStyle w:val="SourceText"/>
        </w:rPr>
        <w:t>MUST NOT</w:t>
      </w:r>
      <w:r>
        <w:rPr/>
        <w:t xml:space="preserve"> inherit broader permissions than the delegating context </w:t>
      </w:r>
    </w:p>
    <w:p>
      <w:pPr>
        <w:pStyle w:val="BodyText"/>
        <w:numPr>
          <w:ilvl w:val="0"/>
          <w:numId w:val="53"/>
        </w:numPr>
        <w:tabs>
          <w:tab w:val="clear" w:pos="1134"/>
          <w:tab w:val="left" w:pos="709" w:leader="none"/>
        </w:tabs>
        <w:bidi w:val="0"/>
        <w:ind w:hanging="283" w:left="709"/>
        <w:jc w:val="left"/>
        <w:rPr/>
      </w:pPr>
      <w:r>
        <w:rPr>
          <w:rStyle w:val="SourceText"/>
        </w:rPr>
        <w:t>MUST</w:t>
      </w:r>
      <w:r>
        <w:rPr/>
        <w:t xml:space="preserve"> operate under a recomputed effective permission set </w:t>
      </w:r>
    </w:p>
    <w:p>
      <w:pPr>
        <w:pStyle w:val="Heading3"/>
        <w:bidi w:val="0"/>
        <w:jc w:val="left"/>
        <w:rPr/>
      </w:pPr>
      <w:r>
        <w:rPr/>
        <w:t>11.2 Specialist and Coordinator Patterns</w:t>
      </w:r>
    </w:p>
    <w:p>
      <w:pPr>
        <w:pStyle w:val="BodyText"/>
        <w:bidi w:val="0"/>
        <w:jc w:val="left"/>
        <w:rPr/>
      </w:pPr>
      <w:r>
        <w:rPr/>
        <w:t xml:space="preserve">An implementation </w:t>
      </w:r>
      <w:r>
        <w:rPr>
          <w:rStyle w:val="SourceText"/>
        </w:rPr>
        <w:t>SHOULD</w:t>
      </w:r>
      <w:r>
        <w:rPr/>
        <w:t xml:space="preserve"> distinguish:</w:t>
      </w:r>
    </w:p>
    <w:p>
      <w:pPr>
        <w:pStyle w:val="BodyText"/>
        <w:numPr>
          <w:ilvl w:val="0"/>
          <w:numId w:val="54"/>
        </w:numPr>
        <w:tabs>
          <w:tab w:val="clear" w:pos="1134"/>
          <w:tab w:val="left" w:pos="709" w:leader="none"/>
        </w:tabs>
        <w:bidi w:val="0"/>
        <w:spacing w:before="0" w:after="0"/>
        <w:ind w:hanging="283" w:left="709"/>
        <w:jc w:val="left"/>
        <w:rPr/>
      </w:pPr>
      <w:r>
        <w:rPr/>
        <w:t xml:space="preserve">coordinators or orchestrators, which decompose, route, and synthesize </w:t>
      </w:r>
    </w:p>
    <w:p>
      <w:pPr>
        <w:pStyle w:val="BodyText"/>
        <w:numPr>
          <w:ilvl w:val="0"/>
          <w:numId w:val="54"/>
        </w:numPr>
        <w:tabs>
          <w:tab w:val="clear" w:pos="1134"/>
          <w:tab w:val="left" w:pos="709" w:leader="none"/>
        </w:tabs>
        <w:bidi w:val="0"/>
        <w:ind w:hanging="283" w:left="709"/>
        <w:jc w:val="left"/>
        <w:rPr/>
      </w:pPr>
      <w:r>
        <w:rPr/>
        <w:t xml:space="preserve">specialists, which operate within narrower domain or tool scopes </w:t>
      </w:r>
    </w:p>
    <w:p>
      <w:pPr>
        <w:pStyle w:val="BodyText"/>
        <w:bidi w:val="0"/>
        <w:jc w:val="left"/>
        <w:rPr/>
      </w:pPr>
      <w:r>
        <w:rPr/>
        <w:t>This distinction matters because the same agent shape should not be assumed to fit all work equally well.</w:t>
      </w:r>
    </w:p>
    <w:p>
      <w:pPr>
        <w:pStyle w:val="Heading3"/>
        <w:bidi w:val="0"/>
        <w:jc w:val="left"/>
        <w:rPr/>
      </w:pPr>
      <w:r>
        <w:rPr/>
        <w:t>11.3 Escalation</w:t>
      </w:r>
    </w:p>
    <w:p>
      <w:pPr>
        <w:pStyle w:val="BodyText"/>
        <w:bidi w:val="0"/>
        <w:jc w:val="left"/>
        <w:rPr/>
      </w:pPr>
      <w:r>
        <w:rPr/>
        <w:t xml:space="preserve">A conforming runtime </w:t>
      </w:r>
      <w:r>
        <w:rPr>
          <w:rStyle w:val="SourceText"/>
        </w:rPr>
        <w:t>MUST</w:t>
      </w:r>
      <w:r>
        <w:rPr/>
        <w:t xml:space="preserve"> support escalation to a human or higher-authority control point when:</w:t>
      </w:r>
    </w:p>
    <w:p>
      <w:pPr>
        <w:pStyle w:val="BodyText"/>
        <w:numPr>
          <w:ilvl w:val="0"/>
          <w:numId w:val="55"/>
        </w:numPr>
        <w:tabs>
          <w:tab w:val="clear" w:pos="1134"/>
          <w:tab w:val="left" w:pos="709" w:leader="none"/>
        </w:tabs>
        <w:bidi w:val="0"/>
        <w:spacing w:before="0" w:after="0"/>
        <w:ind w:hanging="283" w:left="709"/>
        <w:jc w:val="left"/>
        <w:rPr/>
      </w:pPr>
      <w:r>
        <w:rPr/>
        <w:t xml:space="preserve">the action exceeds allowed authority </w:t>
      </w:r>
    </w:p>
    <w:p>
      <w:pPr>
        <w:pStyle w:val="BodyText"/>
        <w:numPr>
          <w:ilvl w:val="0"/>
          <w:numId w:val="55"/>
        </w:numPr>
        <w:tabs>
          <w:tab w:val="clear" w:pos="1134"/>
          <w:tab w:val="left" w:pos="709" w:leader="none"/>
        </w:tabs>
        <w:bidi w:val="0"/>
        <w:spacing w:before="0" w:after="0"/>
        <w:ind w:hanging="283" w:left="709"/>
        <w:jc w:val="left"/>
        <w:rPr/>
      </w:pPr>
      <w:r>
        <w:rPr/>
        <w:t xml:space="preserve">the confidence or evidence is inadequate </w:t>
      </w:r>
    </w:p>
    <w:p>
      <w:pPr>
        <w:pStyle w:val="BodyText"/>
        <w:numPr>
          <w:ilvl w:val="0"/>
          <w:numId w:val="55"/>
        </w:numPr>
        <w:tabs>
          <w:tab w:val="clear" w:pos="1134"/>
          <w:tab w:val="left" w:pos="709" w:leader="none"/>
        </w:tabs>
        <w:bidi w:val="0"/>
        <w:spacing w:before="0" w:after="0"/>
        <w:ind w:hanging="283" w:left="709"/>
        <w:jc w:val="left"/>
        <w:rPr/>
      </w:pPr>
      <w:r>
        <w:rPr/>
        <w:t xml:space="preserve">policy requires review </w:t>
      </w:r>
    </w:p>
    <w:p>
      <w:pPr>
        <w:pStyle w:val="BodyText"/>
        <w:numPr>
          <w:ilvl w:val="0"/>
          <w:numId w:val="55"/>
        </w:numPr>
        <w:tabs>
          <w:tab w:val="clear" w:pos="1134"/>
          <w:tab w:val="left" w:pos="709" w:leader="none"/>
        </w:tabs>
        <w:bidi w:val="0"/>
        <w:ind w:hanging="283" w:left="709"/>
        <w:jc w:val="left"/>
        <w:rPr/>
      </w:pPr>
      <w:r>
        <w:rPr/>
        <w:t xml:space="preserve">the agent encounters a repeated failure or unresolved blocker </w:t>
      </w:r>
    </w:p>
    <w:p>
      <w:pPr>
        <w:pStyle w:val="Heading3"/>
        <w:bidi w:val="0"/>
        <w:jc w:val="left"/>
        <w:rPr/>
      </w:pPr>
      <w:r>
        <w:rPr/>
        <w:t>11.4 Provider and Governance Incident Escalation</w:t>
      </w:r>
    </w:p>
    <w:p>
      <w:pPr>
        <w:pStyle w:val="BodyText"/>
        <w:bidi w:val="0"/>
        <w:jc w:val="left"/>
        <w:rPr/>
      </w:pPr>
      <w:r>
        <w:rPr/>
        <w:t xml:space="preserve">A conforming runtime </w:t>
      </w:r>
      <w:r>
        <w:rPr>
          <w:rStyle w:val="SourceText"/>
        </w:rPr>
        <w:t>MUST</w:t>
      </w:r>
      <w:r>
        <w:rPr/>
        <w:t xml:space="preserve"> support </w:t>
      </w:r>
      <w:r>
        <w:rPr>
          <w:rStyle w:val="SourceText"/>
        </w:rPr>
        <w:t>HITL</w:t>
      </w:r>
      <w:r>
        <w:rPr/>
        <w:t xml:space="preserve"> and human escalation for operational incidents that cannot be safely resolved through autonomous retry or failover alone.</w:t>
      </w:r>
    </w:p>
    <w:p>
      <w:pPr>
        <w:pStyle w:val="BodyText"/>
        <w:bidi w:val="0"/>
        <w:jc w:val="left"/>
        <w:rPr/>
      </w:pPr>
      <w:r>
        <w:rPr/>
        <w:t xml:space="preserve">At minimum, the escalation path </w:t>
      </w:r>
      <w:r>
        <w:rPr>
          <w:rStyle w:val="SourceText"/>
        </w:rPr>
        <w:t>MUST</w:t>
      </w:r>
      <w:r>
        <w:rPr/>
        <w:t xml:space="preserve"> cover:</w:t>
      </w:r>
    </w:p>
    <w:p>
      <w:pPr>
        <w:pStyle w:val="BodyText"/>
        <w:numPr>
          <w:ilvl w:val="0"/>
          <w:numId w:val="56"/>
        </w:numPr>
        <w:tabs>
          <w:tab w:val="clear" w:pos="1134"/>
          <w:tab w:val="left" w:pos="709" w:leader="none"/>
        </w:tabs>
        <w:bidi w:val="0"/>
        <w:spacing w:before="0" w:after="0"/>
        <w:ind w:hanging="283" w:left="709"/>
        <w:jc w:val="left"/>
        <w:rPr/>
      </w:pPr>
      <w:r>
        <w:rPr/>
        <w:t xml:space="preserve">provider authentication failures </w:t>
      </w:r>
    </w:p>
    <w:p>
      <w:pPr>
        <w:pStyle w:val="BodyText"/>
        <w:numPr>
          <w:ilvl w:val="0"/>
          <w:numId w:val="56"/>
        </w:numPr>
        <w:tabs>
          <w:tab w:val="clear" w:pos="1134"/>
          <w:tab w:val="left" w:pos="709" w:leader="none"/>
        </w:tabs>
        <w:bidi w:val="0"/>
        <w:spacing w:before="0" w:after="0"/>
        <w:ind w:hanging="283" w:left="709"/>
        <w:jc w:val="left"/>
        <w:rPr/>
      </w:pPr>
      <w:r>
        <w:rPr/>
        <w:t xml:space="preserve">billing, funding-token, quota, or contract problems </w:t>
      </w:r>
    </w:p>
    <w:p>
      <w:pPr>
        <w:pStyle w:val="BodyText"/>
        <w:numPr>
          <w:ilvl w:val="0"/>
          <w:numId w:val="56"/>
        </w:numPr>
        <w:tabs>
          <w:tab w:val="clear" w:pos="1134"/>
          <w:tab w:val="left" w:pos="709" w:leader="none"/>
        </w:tabs>
        <w:bidi w:val="0"/>
        <w:spacing w:before="0" w:after="0"/>
        <w:ind w:hanging="283" w:left="709"/>
        <w:jc w:val="left"/>
        <w:rPr/>
      </w:pPr>
      <w:r>
        <w:rPr/>
        <w:t xml:space="preserve">provider or platform policy denials </w:t>
      </w:r>
    </w:p>
    <w:p>
      <w:pPr>
        <w:pStyle w:val="BodyText"/>
        <w:numPr>
          <w:ilvl w:val="0"/>
          <w:numId w:val="56"/>
        </w:numPr>
        <w:tabs>
          <w:tab w:val="clear" w:pos="1134"/>
          <w:tab w:val="left" w:pos="709" w:leader="none"/>
        </w:tabs>
        <w:bidi w:val="0"/>
        <w:spacing w:before="0" w:after="0"/>
        <w:ind w:hanging="283" w:left="709"/>
        <w:jc w:val="left"/>
        <w:rPr/>
      </w:pPr>
      <w:r>
        <w:rPr/>
        <w:t xml:space="preserve">persistent platform misconfiguration </w:t>
      </w:r>
    </w:p>
    <w:p>
      <w:pPr>
        <w:pStyle w:val="BodyText"/>
        <w:numPr>
          <w:ilvl w:val="0"/>
          <w:numId w:val="56"/>
        </w:numPr>
        <w:tabs>
          <w:tab w:val="clear" w:pos="1134"/>
          <w:tab w:val="left" w:pos="709" w:leader="none"/>
        </w:tabs>
        <w:bidi w:val="0"/>
        <w:spacing w:before="0" w:after="0"/>
        <w:ind w:hanging="283" w:left="709"/>
        <w:jc w:val="left"/>
        <w:rPr/>
      </w:pPr>
      <w:r>
        <w:rPr/>
        <w:t xml:space="preserve">repeated rate-budget exhaustion or queue starvation </w:t>
      </w:r>
    </w:p>
    <w:p>
      <w:pPr>
        <w:pStyle w:val="BodyText"/>
        <w:numPr>
          <w:ilvl w:val="0"/>
          <w:numId w:val="56"/>
        </w:numPr>
        <w:tabs>
          <w:tab w:val="clear" w:pos="1134"/>
          <w:tab w:val="left" w:pos="709" w:leader="none"/>
        </w:tabs>
        <w:bidi w:val="0"/>
        <w:spacing w:before="0" w:after="0"/>
        <w:ind w:hanging="283" w:left="709"/>
        <w:jc w:val="left"/>
        <w:rPr/>
      </w:pPr>
      <w:r>
        <w:rPr/>
        <w:t xml:space="preserve">detected </w:t>
      </w:r>
      <w:r>
        <w:rPr>
          <w:rStyle w:val="SourceText"/>
        </w:rPr>
        <w:t>GAID</w:t>
      </w:r>
      <w:r>
        <w:rPr/>
        <w:t xml:space="preserve"> scope or operating-surface violations </w:t>
      </w:r>
    </w:p>
    <w:p>
      <w:pPr>
        <w:pStyle w:val="BodyText"/>
        <w:numPr>
          <w:ilvl w:val="0"/>
          <w:numId w:val="56"/>
        </w:numPr>
        <w:tabs>
          <w:tab w:val="clear" w:pos="1134"/>
          <w:tab w:val="left" w:pos="709" w:leader="none"/>
        </w:tabs>
        <w:bidi w:val="0"/>
        <w:ind w:hanging="283" w:left="709"/>
        <w:jc w:val="left"/>
        <w:rPr/>
      </w:pPr>
      <w:r>
        <w:rPr/>
        <w:t xml:space="preserve">suspected cross-boundary leakage or other reportable governance incidents </w:t>
      </w:r>
    </w:p>
    <w:p>
      <w:pPr>
        <w:pStyle w:val="BodyText"/>
        <w:bidi w:val="0"/>
        <w:jc w:val="left"/>
        <w:rPr/>
      </w:pPr>
      <w:r>
        <w:rPr/>
        <w:t xml:space="preserve">The runtime </w:t>
      </w:r>
      <w:r>
        <w:rPr>
          <w:rStyle w:val="SourceText"/>
        </w:rPr>
        <w:t>SHOULD</w:t>
      </w:r>
      <w:r>
        <w:rPr/>
        <w:t xml:space="preserve"> treat these conditions similarly to an employee reporting an observed security or data-handling incident: safe continuation pauses, the issue is surfaced clearly, and a human owner is brought into the loop.</w:t>
      </w:r>
    </w:p>
    <w:p>
      <w:pPr>
        <w:pStyle w:val="BodyText"/>
        <w:bidi w:val="0"/>
        <w:jc w:val="left"/>
        <w:rPr/>
      </w:pPr>
      <w:r>
        <w:rPr/>
        <w:t xml:space="preserve">When such an incident is detected, the runtime </w:t>
      </w:r>
      <w:r>
        <w:rPr>
          <w:rStyle w:val="SourceText"/>
        </w:rPr>
        <w:t>MUST</w:t>
      </w:r>
      <w:r>
        <w:rPr/>
        <w:t>:</w:t>
      </w:r>
    </w:p>
    <w:p>
      <w:pPr>
        <w:pStyle w:val="BodyText"/>
        <w:numPr>
          <w:ilvl w:val="0"/>
          <w:numId w:val="57"/>
        </w:numPr>
        <w:tabs>
          <w:tab w:val="clear" w:pos="1134"/>
          <w:tab w:val="left" w:pos="709" w:leader="none"/>
        </w:tabs>
        <w:bidi w:val="0"/>
        <w:spacing w:before="0" w:after="0"/>
        <w:ind w:hanging="283" w:left="709"/>
        <w:jc w:val="left"/>
        <w:rPr/>
      </w:pPr>
      <w:r>
        <w:rPr/>
        <w:t xml:space="preserve">preserve enough context for a human to diagnose the issue </w:t>
      </w:r>
    </w:p>
    <w:p>
      <w:pPr>
        <w:pStyle w:val="BodyText"/>
        <w:numPr>
          <w:ilvl w:val="0"/>
          <w:numId w:val="57"/>
        </w:numPr>
        <w:tabs>
          <w:tab w:val="clear" w:pos="1134"/>
          <w:tab w:val="left" w:pos="709" w:leader="none"/>
        </w:tabs>
        <w:bidi w:val="0"/>
        <w:spacing w:before="0" w:after="0"/>
        <w:ind w:hanging="283" w:left="709"/>
        <w:jc w:val="left"/>
        <w:rPr/>
      </w:pPr>
      <w:r>
        <w:rPr/>
        <w:t xml:space="preserve">prevent unsafe continuation of the affected workflow until policy permits it </w:t>
      </w:r>
    </w:p>
    <w:p>
      <w:pPr>
        <w:pStyle w:val="BodyText"/>
        <w:numPr>
          <w:ilvl w:val="0"/>
          <w:numId w:val="57"/>
        </w:numPr>
        <w:tabs>
          <w:tab w:val="clear" w:pos="1134"/>
          <w:tab w:val="left" w:pos="709" w:leader="none"/>
        </w:tabs>
        <w:bidi w:val="0"/>
        <w:spacing w:before="0" w:after="0"/>
        <w:ind w:hanging="283" w:left="709"/>
        <w:jc w:val="left"/>
        <w:rPr/>
      </w:pPr>
      <w:r>
        <w:rPr/>
        <w:t xml:space="preserve">present a pragmatic reason and next-step state to the user or operator </w:t>
      </w:r>
    </w:p>
    <w:p>
      <w:pPr>
        <w:pStyle w:val="BodyText"/>
        <w:numPr>
          <w:ilvl w:val="0"/>
          <w:numId w:val="57"/>
        </w:numPr>
        <w:tabs>
          <w:tab w:val="clear" w:pos="1134"/>
          <w:tab w:val="left" w:pos="709" w:leader="none"/>
        </w:tabs>
        <w:bidi w:val="0"/>
        <w:ind w:hanging="283" w:left="709"/>
        <w:jc w:val="left"/>
        <w:rPr/>
      </w:pPr>
      <w:r>
        <w:rPr/>
        <w:t xml:space="preserve">record the escalation outcome </w:t>
      </w:r>
    </w:p>
    <w:p>
      <w:pPr>
        <w:pStyle w:val="BodyText"/>
        <w:bidi w:val="0"/>
        <w:jc w:val="left"/>
        <w:rPr/>
      </w:pPr>
      <w:r>
        <w:rPr/>
        <w:drawing>
          <wp:inline distT="0" distB="0" distL="0" distR="0">
            <wp:extent cx="22402800" cy="10086975"/>
            <wp:effectExtent l="0" t="0" r="0" b="0"/>
            <wp:docPr id="6" name="Image6" descr="TAK delegation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TAK delegation chain"/>
                    <pic:cNvPicPr>
                      <a:picLocks noChangeAspect="1" noChangeArrowheads="1"/>
                    </pic:cNvPicPr>
                  </pic:nvPicPr>
                  <pic:blipFill>
                    <a:blip r:embed="rId54"/>
                    <a:stretch>
                      <a:fillRect/>
                    </a:stretch>
                  </pic:blipFill>
                  <pic:spPr bwMode="auto">
                    <a:xfrm>
                      <a:off x="0" y="0"/>
                      <a:ext cx="22402800" cy="10086975"/>
                    </a:xfrm>
                    <a:prstGeom prst="rect">
                      <a:avLst/>
                    </a:prstGeom>
                    <a:noFill/>
                  </pic:spPr>
                </pic:pic>
              </a:graphicData>
            </a:graphic>
          </wp:inline>
        </w:drawing>
      </w:r>
    </w:p>
    <w:p>
      <w:pPr>
        <w:pStyle w:val="BodyText"/>
        <w:bidi w:val="0"/>
        <w:jc w:val="left"/>
        <w:rPr/>
      </w:pPr>
      <w:r>
        <w:rPr>
          <w:rStyle w:val="Emphasis"/>
        </w:rPr>
        <w:t>Figure 4. Delegation is valid only when authority narrows, not widens.</w:t>
      </w:r>
    </w:p>
    <w:p>
      <w:pPr>
        <w:pStyle w:val="Heading2"/>
        <w:bidi w:val="0"/>
        <w:jc w:val="left"/>
        <w:rPr/>
      </w:pPr>
      <w:r>
        <w:rPr/>
        <w:t>12. Memory and Context-Window Governance</w:t>
      </w:r>
    </w:p>
    <w:p>
      <w:pPr>
        <w:pStyle w:val="Heading3"/>
        <w:bidi w:val="0"/>
        <w:jc w:val="left"/>
        <w:rPr/>
      </w:pPr>
      <w:r>
        <w:rPr/>
        <w:t>12.1 Memory Is a Governed Surface</w:t>
      </w:r>
    </w:p>
    <w:p>
      <w:pPr>
        <w:pStyle w:val="BodyText"/>
        <w:bidi w:val="0"/>
        <w:jc w:val="left"/>
        <w:rPr/>
      </w:pPr>
      <w:r>
        <w:rPr/>
        <w:t xml:space="preserve">Persistent memory, retrieved memory, and prior conversation context </w:t>
      </w:r>
      <w:r>
        <w:rPr>
          <w:rStyle w:val="SourceText"/>
        </w:rPr>
        <w:t>MUST</w:t>
      </w:r>
      <w:r>
        <w:rPr/>
        <w:t xml:space="preserve"> be treated as governed runtime inputs.</w:t>
      </w:r>
    </w:p>
    <w:p>
      <w:pPr>
        <w:pStyle w:val="BodyText"/>
        <w:bidi w:val="0"/>
        <w:jc w:val="left"/>
        <w:rPr/>
      </w:pPr>
      <w:r>
        <w:rPr/>
        <w:t xml:space="preserve">Memory is not a neutral convenience. It changes future behavior. Therefore, </w:t>
      </w:r>
      <w:r>
        <w:rPr>
          <w:rStyle w:val="SourceText"/>
        </w:rPr>
        <w:t>TAK</w:t>
      </w:r>
      <w:r>
        <w:rPr/>
        <w:t xml:space="preserve"> requires explicit control over:</w:t>
      </w:r>
    </w:p>
    <w:p>
      <w:pPr>
        <w:pStyle w:val="BodyText"/>
        <w:numPr>
          <w:ilvl w:val="0"/>
          <w:numId w:val="58"/>
        </w:numPr>
        <w:tabs>
          <w:tab w:val="clear" w:pos="1134"/>
          <w:tab w:val="left" w:pos="709" w:leader="none"/>
        </w:tabs>
        <w:bidi w:val="0"/>
        <w:spacing w:before="0" w:after="0"/>
        <w:ind w:hanging="283" w:left="709"/>
        <w:jc w:val="left"/>
        <w:rPr/>
      </w:pPr>
      <w:r>
        <w:rPr/>
        <w:t xml:space="preserve">what is retained </w:t>
      </w:r>
    </w:p>
    <w:p>
      <w:pPr>
        <w:pStyle w:val="BodyText"/>
        <w:numPr>
          <w:ilvl w:val="0"/>
          <w:numId w:val="58"/>
        </w:numPr>
        <w:tabs>
          <w:tab w:val="clear" w:pos="1134"/>
          <w:tab w:val="left" w:pos="709" w:leader="none"/>
        </w:tabs>
        <w:bidi w:val="0"/>
        <w:spacing w:before="0" w:after="0"/>
        <w:ind w:hanging="283" w:left="709"/>
        <w:jc w:val="left"/>
        <w:rPr/>
      </w:pPr>
      <w:r>
        <w:rPr/>
        <w:t xml:space="preserve">how long it is retained </w:t>
      </w:r>
    </w:p>
    <w:p>
      <w:pPr>
        <w:pStyle w:val="BodyText"/>
        <w:numPr>
          <w:ilvl w:val="0"/>
          <w:numId w:val="58"/>
        </w:numPr>
        <w:tabs>
          <w:tab w:val="clear" w:pos="1134"/>
          <w:tab w:val="left" w:pos="709" w:leader="none"/>
        </w:tabs>
        <w:bidi w:val="0"/>
        <w:spacing w:before="0" w:after="0"/>
        <w:ind w:hanging="283" w:left="709"/>
        <w:jc w:val="left"/>
        <w:rPr/>
      </w:pPr>
      <w:r>
        <w:rPr/>
        <w:t xml:space="preserve">who may retrieve it </w:t>
      </w:r>
    </w:p>
    <w:p>
      <w:pPr>
        <w:pStyle w:val="BodyText"/>
        <w:numPr>
          <w:ilvl w:val="0"/>
          <w:numId w:val="58"/>
        </w:numPr>
        <w:tabs>
          <w:tab w:val="clear" w:pos="1134"/>
          <w:tab w:val="left" w:pos="709" w:leader="none"/>
        </w:tabs>
        <w:bidi w:val="0"/>
        <w:spacing w:before="0" w:after="0"/>
        <w:ind w:hanging="283" w:left="709"/>
        <w:jc w:val="left"/>
        <w:rPr/>
      </w:pPr>
      <w:r>
        <w:rPr/>
        <w:t xml:space="preserve">what confidence it carries </w:t>
      </w:r>
    </w:p>
    <w:p>
      <w:pPr>
        <w:pStyle w:val="BodyText"/>
        <w:numPr>
          <w:ilvl w:val="0"/>
          <w:numId w:val="58"/>
        </w:numPr>
        <w:tabs>
          <w:tab w:val="clear" w:pos="1134"/>
          <w:tab w:val="left" w:pos="709" w:leader="none"/>
        </w:tabs>
        <w:bidi w:val="0"/>
        <w:ind w:hanging="283" w:left="709"/>
        <w:jc w:val="left"/>
        <w:rPr/>
      </w:pPr>
      <w:r>
        <w:rPr/>
        <w:t xml:space="preserve">when it must be re-validated </w:t>
      </w:r>
    </w:p>
    <w:p>
      <w:pPr>
        <w:pStyle w:val="Heading3"/>
        <w:bidi w:val="0"/>
        <w:jc w:val="left"/>
        <w:rPr/>
      </w:pPr>
      <w:r>
        <w:rPr/>
        <w:t>12.2 Retention Rules</w:t>
      </w:r>
    </w:p>
    <w:p>
      <w:pPr>
        <w:pStyle w:val="BodyText"/>
        <w:bidi w:val="0"/>
        <w:jc w:val="left"/>
        <w:rPr/>
      </w:pPr>
      <w:r>
        <w:rPr/>
        <w:t xml:space="preserve">A </w:t>
      </w:r>
      <w:r>
        <w:rPr>
          <w:rStyle w:val="SourceText"/>
        </w:rPr>
        <w:t>TAK-Managed</w:t>
      </w:r>
      <w:r>
        <w:rPr/>
        <w:t xml:space="preserve"> or higher implementation </w:t>
      </w:r>
      <w:r>
        <w:rPr>
          <w:rStyle w:val="SourceText"/>
        </w:rPr>
        <w:t>MUST</w:t>
      </w:r>
      <w:r>
        <w:rPr/>
        <w:t xml:space="preserve"> define policies for:</w:t>
      </w:r>
    </w:p>
    <w:p>
      <w:pPr>
        <w:pStyle w:val="BodyText"/>
        <w:numPr>
          <w:ilvl w:val="0"/>
          <w:numId w:val="59"/>
        </w:numPr>
        <w:tabs>
          <w:tab w:val="clear" w:pos="1134"/>
          <w:tab w:val="left" w:pos="709" w:leader="none"/>
        </w:tabs>
        <w:bidi w:val="0"/>
        <w:spacing w:before="0" w:after="0"/>
        <w:ind w:hanging="283" w:left="709"/>
        <w:jc w:val="left"/>
        <w:rPr/>
      </w:pPr>
      <w:r>
        <w:rPr/>
        <w:t xml:space="preserve">transient conversation context </w:t>
      </w:r>
    </w:p>
    <w:p>
      <w:pPr>
        <w:pStyle w:val="BodyText"/>
        <w:numPr>
          <w:ilvl w:val="0"/>
          <w:numId w:val="59"/>
        </w:numPr>
        <w:tabs>
          <w:tab w:val="clear" w:pos="1134"/>
          <w:tab w:val="left" w:pos="709" w:leader="none"/>
        </w:tabs>
        <w:bidi w:val="0"/>
        <w:spacing w:before="0" w:after="0"/>
        <w:ind w:hanging="283" w:left="709"/>
        <w:jc w:val="left"/>
        <w:rPr/>
      </w:pPr>
      <w:r>
        <w:rPr/>
        <w:t xml:space="preserve">durable preference or decision memory </w:t>
      </w:r>
    </w:p>
    <w:p>
      <w:pPr>
        <w:pStyle w:val="BodyText"/>
        <w:numPr>
          <w:ilvl w:val="0"/>
          <w:numId w:val="59"/>
        </w:numPr>
        <w:tabs>
          <w:tab w:val="clear" w:pos="1134"/>
          <w:tab w:val="left" w:pos="709" w:leader="none"/>
        </w:tabs>
        <w:bidi w:val="0"/>
        <w:spacing w:before="0" w:after="0"/>
        <w:ind w:hanging="283" w:left="709"/>
        <w:jc w:val="left"/>
        <w:rPr/>
      </w:pPr>
      <w:r>
        <w:rPr/>
        <w:t xml:space="preserve">operational evidence and audit history </w:t>
      </w:r>
    </w:p>
    <w:p>
      <w:pPr>
        <w:pStyle w:val="BodyText"/>
        <w:numPr>
          <w:ilvl w:val="0"/>
          <w:numId w:val="59"/>
        </w:numPr>
        <w:tabs>
          <w:tab w:val="clear" w:pos="1134"/>
          <w:tab w:val="left" w:pos="709" w:leader="none"/>
        </w:tabs>
        <w:bidi w:val="0"/>
        <w:ind w:hanging="283" w:left="709"/>
        <w:jc w:val="left"/>
        <w:rPr/>
      </w:pPr>
      <w:r>
        <w:rPr/>
        <w:t xml:space="preserve">sensitive data retention and expiry </w:t>
      </w:r>
    </w:p>
    <w:p>
      <w:pPr>
        <w:pStyle w:val="BodyText"/>
        <w:bidi w:val="0"/>
        <w:jc w:val="left"/>
        <w:rPr/>
      </w:pPr>
      <w:r>
        <w:rPr/>
        <w:t xml:space="preserve">The runtime </w:t>
      </w:r>
      <w:r>
        <w:rPr>
          <w:rStyle w:val="SourceText"/>
        </w:rPr>
        <w:t>MUST NOT</w:t>
      </w:r>
      <w:r>
        <w:rPr/>
        <w:t xml:space="preserve"> expose memory derived from one principal, tenant, or authorization boundary to another principal, tenant, or authorization boundary without explicit policy permission.</w:t>
      </w:r>
    </w:p>
    <w:p>
      <w:pPr>
        <w:pStyle w:val="Heading3"/>
        <w:bidi w:val="0"/>
        <w:jc w:val="left"/>
        <w:rPr/>
      </w:pPr>
      <w:r>
        <w:rPr/>
        <w:t>12.3 Context Truncation and Summarization</w:t>
      </w:r>
    </w:p>
    <w:p>
      <w:pPr>
        <w:pStyle w:val="BodyText"/>
        <w:bidi w:val="0"/>
        <w:jc w:val="left"/>
        <w:rPr/>
      </w:pPr>
      <w:r>
        <w:rPr/>
        <w:t xml:space="preserve">When context windows are limited, the runtime </w:t>
      </w:r>
      <w:r>
        <w:rPr>
          <w:rStyle w:val="SourceText"/>
        </w:rPr>
        <w:t>MUST</w:t>
      </w:r>
      <w:r>
        <w:rPr/>
        <w:t xml:space="preserve"> favor:</w:t>
      </w:r>
    </w:p>
    <w:p>
      <w:pPr>
        <w:pStyle w:val="BodyText"/>
        <w:numPr>
          <w:ilvl w:val="0"/>
          <w:numId w:val="60"/>
        </w:numPr>
        <w:tabs>
          <w:tab w:val="clear" w:pos="1134"/>
          <w:tab w:val="left" w:pos="709" w:leader="none"/>
        </w:tabs>
        <w:bidi w:val="0"/>
        <w:spacing w:before="0" w:after="0"/>
        <w:ind w:hanging="283" w:left="709"/>
        <w:jc w:val="left"/>
        <w:rPr/>
      </w:pPr>
      <w:r>
        <w:rPr/>
        <w:t xml:space="preserve">durable decisions over transient chatter </w:t>
      </w:r>
    </w:p>
    <w:p>
      <w:pPr>
        <w:pStyle w:val="BodyText"/>
        <w:numPr>
          <w:ilvl w:val="0"/>
          <w:numId w:val="60"/>
        </w:numPr>
        <w:tabs>
          <w:tab w:val="clear" w:pos="1134"/>
          <w:tab w:val="left" w:pos="709" w:leader="none"/>
        </w:tabs>
        <w:bidi w:val="0"/>
        <w:spacing w:before="0" w:after="0"/>
        <w:ind w:hanging="283" w:left="709"/>
        <w:jc w:val="left"/>
        <w:rPr/>
      </w:pPr>
      <w:r>
        <w:rPr/>
        <w:t xml:space="preserve">structured summaries over raw transcripts </w:t>
      </w:r>
    </w:p>
    <w:p>
      <w:pPr>
        <w:pStyle w:val="BodyText"/>
        <w:numPr>
          <w:ilvl w:val="0"/>
          <w:numId w:val="60"/>
        </w:numPr>
        <w:tabs>
          <w:tab w:val="clear" w:pos="1134"/>
          <w:tab w:val="left" w:pos="709" w:leader="none"/>
        </w:tabs>
        <w:bidi w:val="0"/>
        <w:ind w:hanging="283" w:left="709"/>
        <w:jc w:val="left"/>
        <w:rPr/>
      </w:pPr>
      <w:r>
        <w:rPr/>
        <w:t xml:space="preserve">validated facts over speculative earlier drafts </w:t>
      </w:r>
    </w:p>
    <w:p>
      <w:pPr>
        <w:pStyle w:val="BodyText"/>
        <w:bidi w:val="0"/>
        <w:jc w:val="left"/>
        <w:rPr/>
      </w:pPr>
      <w:r>
        <w:rPr/>
        <w:t xml:space="preserve">The runtime </w:t>
      </w:r>
      <w:r>
        <w:rPr>
          <w:rStyle w:val="SourceText"/>
        </w:rPr>
        <w:t>SHOULD</w:t>
      </w:r>
      <w:r>
        <w:rPr/>
        <w:t xml:space="preserve"> document summarization and truncation behavior so operators understand what information may have been omitted.</w:t>
      </w:r>
    </w:p>
    <w:p>
      <w:pPr>
        <w:pStyle w:val="Heading3"/>
        <w:bidi w:val="0"/>
        <w:jc w:val="left"/>
        <w:rPr/>
      </w:pPr>
      <w:r>
        <w:rPr/>
        <w:t>12.4 Memory Validation</w:t>
      </w:r>
    </w:p>
    <w:p>
      <w:pPr>
        <w:pStyle w:val="BodyText"/>
        <w:bidi w:val="0"/>
        <w:jc w:val="left"/>
        <w:rPr/>
      </w:pPr>
      <w:r>
        <w:rPr/>
        <w:t xml:space="preserve">For </w:t>
      </w:r>
      <w:r>
        <w:rPr>
          <w:rStyle w:val="SourceText"/>
        </w:rPr>
        <w:t>TAK-Assured</w:t>
      </w:r>
      <w:r>
        <w:rPr/>
        <w:t xml:space="preserve">, memory that materially affects consequential action </w:t>
      </w:r>
      <w:r>
        <w:rPr>
          <w:rStyle w:val="SourceText"/>
        </w:rPr>
        <w:t>SHOULD</w:t>
      </w:r>
      <w:r>
        <w:rPr/>
        <w:t xml:space="preserve"> be treated as advisory until revalidated against a current source of truth.</w:t>
      </w:r>
    </w:p>
    <w:p>
      <w:pPr>
        <w:pStyle w:val="Heading3"/>
        <w:bidi w:val="0"/>
        <w:jc w:val="left"/>
        <w:rPr/>
      </w:pPr>
      <w:r>
        <w:rPr/>
        <w:t>12.5 Data Admission and Processing Boundaries</w:t>
      </w:r>
    </w:p>
    <w:p>
      <w:pPr>
        <w:pStyle w:val="BodyText"/>
        <w:bidi w:val="0"/>
        <w:jc w:val="left"/>
        <w:rPr/>
      </w:pPr>
      <w:r>
        <w:rPr/>
        <w:t>The following working-draft clauses belong to the same amendment as §7.13. They make admission and downstream processing separately testable.</w:t>
      </w:r>
    </w:p>
    <w:tbl>
      <w:tblPr>
        <w:tblW w:w="47040" w:type="dxa"/>
        <w:jc w:val="left"/>
        <w:tblInd w:w="0" w:type="dxa"/>
        <w:tblLayout w:type="fixed"/>
        <w:tblCellMar>
          <w:top w:w="28" w:type="dxa"/>
          <w:left w:w="28" w:type="dxa"/>
          <w:bottom w:w="28" w:type="dxa"/>
          <w:right w:w="28" w:type="dxa"/>
        </w:tblCellMar>
      </w:tblPr>
      <w:tblGrid>
        <w:gridCol w:w="2067"/>
        <w:gridCol w:w="44973"/>
      </w:tblGrid>
      <w:tr>
        <w:trPr>
          <w:tblHeader w:val="true"/>
        </w:trPr>
        <w:tc>
          <w:tcPr>
            <w:tcW w:w="2067" w:type="dxa"/>
            <w:tcBorders/>
            <w:vAlign w:val="center"/>
          </w:tcPr>
          <w:p>
            <w:pPr>
              <w:pStyle w:val="TableHeading"/>
              <w:suppressLineNumbers/>
              <w:bidi w:val="0"/>
              <w:spacing w:before="0" w:after="283"/>
              <w:jc w:val="center"/>
              <w:rPr/>
            </w:pPr>
            <w:r>
              <w:rPr/>
              <w:t>Clause</w:t>
            </w:r>
          </w:p>
        </w:tc>
        <w:tc>
          <w:tcPr>
            <w:tcW w:w="44973" w:type="dxa"/>
            <w:tcBorders/>
            <w:vAlign w:val="center"/>
          </w:tcPr>
          <w:p>
            <w:pPr>
              <w:pStyle w:val="TableHeading"/>
              <w:suppressLineNumbers/>
              <w:bidi w:val="0"/>
              <w:spacing w:before="0" w:after="283"/>
              <w:jc w:val="center"/>
              <w:rPr/>
            </w:pPr>
            <w:r>
              <w:rPr/>
              <w:t>Requirement</w:t>
            </w:r>
          </w:p>
        </w:tc>
      </w:tr>
      <w:tr>
        <w:trPr/>
        <w:tc>
          <w:tcPr>
            <w:tcW w:w="2067" w:type="dxa"/>
            <w:tcBorders/>
            <w:vAlign w:val="center"/>
          </w:tcPr>
          <w:p>
            <w:pPr>
              <w:pStyle w:val="TableContents"/>
              <w:bidi w:val="0"/>
              <w:spacing w:before="0" w:after="283"/>
              <w:jc w:val="left"/>
              <w:rPr/>
            </w:pPr>
            <w:r>
              <w:rPr>
                <w:rStyle w:val="SourceText"/>
              </w:rPr>
              <w:t>TAK-DG-001</w:t>
            </w:r>
          </w:p>
        </w:tc>
        <w:tc>
          <w:tcPr>
            <w:tcW w:w="44973" w:type="dxa"/>
            <w:tcBorders/>
            <w:vAlign w:val="center"/>
          </w:tcPr>
          <w:p>
            <w:pPr>
              <w:pStyle w:val="TableContents"/>
              <w:bidi w:val="0"/>
              <w:spacing w:before="0" w:after="283"/>
              <w:jc w:val="left"/>
              <w:rPr/>
            </w:pPr>
            <w:r>
              <w:rPr/>
              <w:t xml:space="preserve">Before admitting data to an agent context, the runtime </w:t>
            </w:r>
            <w:r>
              <w:rPr>
                <w:rStyle w:val="SourceText"/>
              </w:rPr>
              <w:t>MUST</w:t>
            </w:r>
            <w:r>
              <w:rPr/>
              <w:t xml:space="preserve"> resolve its classification, permitted purpose and source-access constraints against the actual principal, agent context and workroom. Missing classification </w:t>
            </w:r>
            <w:r>
              <w:rPr>
                <w:rStyle w:val="SourceText"/>
              </w:rPr>
              <w:t>MUST NOT</w:t>
            </w:r>
            <w:r>
              <w:rPr/>
              <w:t xml:space="preserve"> silently become Public.</w:t>
            </w:r>
          </w:p>
        </w:tc>
      </w:tr>
      <w:tr>
        <w:trPr/>
        <w:tc>
          <w:tcPr>
            <w:tcW w:w="2067" w:type="dxa"/>
            <w:tcBorders/>
            <w:vAlign w:val="center"/>
          </w:tcPr>
          <w:p>
            <w:pPr>
              <w:pStyle w:val="TableContents"/>
              <w:bidi w:val="0"/>
              <w:spacing w:before="0" w:after="283"/>
              <w:jc w:val="left"/>
              <w:rPr/>
            </w:pPr>
            <w:r>
              <w:rPr>
                <w:rStyle w:val="SourceText"/>
              </w:rPr>
              <w:t>TAK-DG-002</w:t>
            </w:r>
          </w:p>
        </w:tc>
        <w:tc>
          <w:tcPr>
            <w:tcW w:w="44973" w:type="dxa"/>
            <w:tcBorders/>
            <w:vAlign w:val="center"/>
          </w:tcPr>
          <w:p>
            <w:pPr>
              <w:pStyle w:val="TableContents"/>
              <w:bidi w:val="0"/>
              <w:spacing w:before="0" w:after="283"/>
              <w:jc w:val="left"/>
              <w:rPr/>
            </w:pPr>
            <w:r>
              <w:rPr/>
              <w:t xml:space="preserve">Where grants enumerate permitted data classes, the runtime </w:t>
            </w:r>
            <w:r>
              <w:rPr>
                <w:rStyle w:val="SourceText"/>
              </w:rPr>
              <w:t>MUST</w:t>
            </w:r>
            <w:r>
              <w:rPr/>
              <w:t xml:space="preserve"> use set membership/intersection. It </w:t>
            </w:r>
            <w:r>
              <w:rPr>
                <w:rStyle w:val="SourceText"/>
              </w:rPr>
              <w:t>MUST NOT</w:t>
            </w:r>
            <w:r>
              <w:rPr/>
              <w:t xml:space="preserve"> infer intermediate or lower classes from the highest listed class unless the governing policy explicitly defines that inheritance.</w:t>
            </w:r>
          </w:p>
        </w:tc>
      </w:tr>
      <w:tr>
        <w:trPr/>
        <w:tc>
          <w:tcPr>
            <w:tcW w:w="2067" w:type="dxa"/>
            <w:tcBorders/>
            <w:vAlign w:val="center"/>
          </w:tcPr>
          <w:p>
            <w:pPr>
              <w:pStyle w:val="TableContents"/>
              <w:bidi w:val="0"/>
              <w:spacing w:before="0" w:after="283"/>
              <w:jc w:val="left"/>
              <w:rPr/>
            </w:pPr>
            <w:r>
              <w:rPr>
                <w:rStyle w:val="SourceText"/>
              </w:rPr>
              <w:t>TAK-DG-003</w:t>
            </w:r>
          </w:p>
        </w:tc>
        <w:tc>
          <w:tcPr>
            <w:tcW w:w="44973" w:type="dxa"/>
            <w:tcBorders/>
            <w:vAlign w:val="center"/>
          </w:tcPr>
          <w:p>
            <w:pPr>
              <w:pStyle w:val="TableContents"/>
              <w:bidi w:val="0"/>
              <w:spacing w:before="0" w:after="283"/>
              <w:jc w:val="left"/>
              <w:rPr/>
            </w:pPr>
            <w:r>
              <w:rPr/>
              <w:t xml:space="preserve">The runtime </w:t>
            </w:r>
            <w:r>
              <w:rPr>
                <w:rStyle w:val="SourceText"/>
              </w:rPr>
              <w:t>MUST</w:t>
            </w:r>
            <w:r>
              <w:rPr/>
              <w:t xml:space="preserve"> preserve applicable source restrictions and provenance through retrieval, attachments, summaries, memory, caches and derived context. Recall and egress </w:t>
            </w:r>
            <w:r>
              <w:rPr>
                <w:rStyle w:val="SourceText"/>
              </w:rPr>
              <w:t>MUST</w:t>
            </w:r>
            <w:r>
              <w:rPr/>
              <w:t xml:space="preserve"> apply current access, purpose and revocation rules; transformation alone </w:t>
            </w:r>
            <w:r>
              <w:rPr>
                <w:rStyle w:val="SourceText"/>
              </w:rPr>
              <w:t>MUST NOT</w:t>
            </w:r>
            <w:r>
              <w:rPr/>
              <w:t xml:space="preserve"> declassify data.</w:t>
            </w:r>
          </w:p>
        </w:tc>
      </w:tr>
      <w:tr>
        <w:trPr/>
        <w:tc>
          <w:tcPr>
            <w:tcW w:w="2067" w:type="dxa"/>
            <w:tcBorders/>
            <w:vAlign w:val="center"/>
          </w:tcPr>
          <w:p>
            <w:pPr>
              <w:pStyle w:val="TableContents"/>
              <w:bidi w:val="0"/>
              <w:spacing w:before="0" w:after="283"/>
              <w:jc w:val="left"/>
              <w:rPr/>
            </w:pPr>
            <w:r>
              <w:rPr>
                <w:rStyle w:val="SourceText"/>
              </w:rPr>
              <w:t>TAK-DG-004</w:t>
            </w:r>
          </w:p>
        </w:tc>
        <w:tc>
          <w:tcPr>
            <w:tcW w:w="44973" w:type="dxa"/>
            <w:tcBorders/>
            <w:vAlign w:val="center"/>
          </w:tcPr>
          <w:p>
            <w:pPr>
              <w:pStyle w:val="TableContents"/>
              <w:bidi w:val="0"/>
              <w:spacing w:before="0" w:after="283"/>
              <w:jc w:val="left"/>
              <w:rPr/>
            </w:pPr>
            <w:r>
              <w:rPr/>
              <w:t xml:space="preserve">Before a processing or disclosure boundary, the runtime </w:t>
            </w:r>
            <w:r>
              <w:rPr>
                <w:rStyle w:val="SourceText"/>
              </w:rPr>
              <w:t>MUST</w:t>
            </w:r>
            <w:r>
              <w:rPr/>
              <w:t xml:space="preserve"> evaluate the actual destination account/connection and applicable data, purpose, residency and contract constraints. Fallback and outbound tool results </w:t>
            </w:r>
            <w:r>
              <w:rPr>
                <w:rStyle w:val="SourceText"/>
              </w:rPr>
              <w:t>MUST</w:t>
            </w:r>
            <w:r>
              <w:rPr/>
              <w:t xml:space="preserve"> undergo the same evaluation. A model name, Public repository or room assignment </w:t>
            </w:r>
            <w:r>
              <w:rPr>
                <w:rStyle w:val="SourceText"/>
              </w:rPr>
              <w:t>MUST NOT</w:t>
            </w:r>
            <w:r>
              <w:rPr/>
              <w:t xml:space="preserve"> substitute for destination approval.</w:t>
            </w:r>
          </w:p>
        </w:tc>
      </w:tr>
    </w:tbl>
    <w:p>
      <w:pPr>
        <w:pStyle w:val="BodyText"/>
        <w:bidi w:val="0"/>
        <w:jc w:val="left"/>
        <w:rPr/>
      </w:pPr>
      <w:r>
        <w:rPr/>
        <w:t>Classification changes require the existing accountable data authority and an attributable record. These controls govern eligibility independently of whether the model is local, hosted or embedded in hardware. Audit visibility remains subject to minimization and access control; a denial need not disclose protected source content to explain the unsatisfied condition.</w:t>
      </w:r>
    </w:p>
    <w:p>
      <w:pPr>
        <w:pStyle w:val="Heading2"/>
        <w:bidi w:val="0"/>
        <w:jc w:val="left"/>
        <w:rPr/>
      </w:pPr>
      <w:r>
        <w:rPr/>
        <w:t>13. Audit, Evidence, and Non-Repudiation</w:t>
      </w:r>
    </w:p>
    <w:p>
      <w:pPr>
        <w:pStyle w:val="Heading3"/>
        <w:bidi w:val="0"/>
        <w:jc w:val="left"/>
        <w:rPr/>
      </w:pPr>
      <w:r>
        <w:rPr/>
        <w:t>13.1 Minimum Audit Events</w:t>
      </w:r>
    </w:p>
    <w:p>
      <w:pPr>
        <w:pStyle w:val="BodyText"/>
        <w:bidi w:val="0"/>
        <w:jc w:val="left"/>
        <w:rPr/>
      </w:pPr>
      <w:r>
        <w:rPr/>
        <w:t xml:space="preserve">A conforming implementation </w:t>
      </w:r>
      <w:r>
        <w:rPr>
          <w:rStyle w:val="SourceText"/>
        </w:rPr>
        <w:t>MUST</w:t>
      </w:r>
      <w:r>
        <w:rPr/>
        <w:t xml:space="preserve"> record, at minimum:</w:t>
      </w:r>
    </w:p>
    <w:p>
      <w:pPr>
        <w:pStyle w:val="BodyText"/>
        <w:numPr>
          <w:ilvl w:val="0"/>
          <w:numId w:val="61"/>
        </w:numPr>
        <w:tabs>
          <w:tab w:val="clear" w:pos="1134"/>
          <w:tab w:val="left" w:pos="709" w:leader="none"/>
        </w:tabs>
        <w:bidi w:val="0"/>
        <w:spacing w:before="0" w:after="0"/>
        <w:ind w:hanging="283" w:left="709"/>
        <w:jc w:val="left"/>
        <w:rPr/>
      </w:pPr>
      <w:r>
        <w:rPr/>
        <w:t xml:space="preserve">tool execution attempts </w:t>
      </w:r>
    </w:p>
    <w:p>
      <w:pPr>
        <w:pStyle w:val="BodyText"/>
        <w:numPr>
          <w:ilvl w:val="0"/>
          <w:numId w:val="61"/>
        </w:numPr>
        <w:tabs>
          <w:tab w:val="clear" w:pos="1134"/>
          <w:tab w:val="left" w:pos="709" w:leader="none"/>
        </w:tabs>
        <w:bidi w:val="0"/>
        <w:spacing w:before="0" w:after="0"/>
        <w:ind w:hanging="283" w:left="709"/>
        <w:jc w:val="left"/>
        <w:rPr/>
      </w:pPr>
      <w:r>
        <w:rPr/>
        <w:t xml:space="preserve">tool execution results </w:t>
      </w:r>
    </w:p>
    <w:p>
      <w:pPr>
        <w:pStyle w:val="BodyText"/>
        <w:numPr>
          <w:ilvl w:val="0"/>
          <w:numId w:val="61"/>
        </w:numPr>
        <w:tabs>
          <w:tab w:val="clear" w:pos="1134"/>
          <w:tab w:val="left" w:pos="709" w:leader="none"/>
        </w:tabs>
        <w:bidi w:val="0"/>
        <w:spacing w:before="0" w:after="0"/>
        <w:ind w:hanging="283" w:left="709"/>
        <w:jc w:val="left"/>
        <w:rPr/>
      </w:pPr>
      <w:r>
        <w:rPr/>
        <w:t xml:space="preserve">proposals and approval decisions </w:t>
      </w:r>
    </w:p>
    <w:p>
      <w:pPr>
        <w:pStyle w:val="BodyText"/>
        <w:numPr>
          <w:ilvl w:val="0"/>
          <w:numId w:val="61"/>
        </w:numPr>
        <w:tabs>
          <w:tab w:val="clear" w:pos="1134"/>
          <w:tab w:val="left" w:pos="709" w:leader="none"/>
        </w:tabs>
        <w:bidi w:val="0"/>
        <w:spacing w:before="0" w:after="0"/>
        <w:ind w:hanging="283" w:left="709"/>
        <w:jc w:val="left"/>
        <w:rPr/>
      </w:pPr>
      <w:r>
        <w:rPr/>
        <w:t xml:space="preserve">escalation events </w:t>
      </w:r>
    </w:p>
    <w:p>
      <w:pPr>
        <w:pStyle w:val="BodyText"/>
        <w:numPr>
          <w:ilvl w:val="0"/>
          <w:numId w:val="61"/>
        </w:numPr>
        <w:tabs>
          <w:tab w:val="clear" w:pos="1134"/>
          <w:tab w:val="left" w:pos="709" w:leader="none"/>
        </w:tabs>
        <w:bidi w:val="0"/>
        <w:spacing w:before="0" w:after="0"/>
        <w:ind w:hanging="283" w:left="709"/>
        <w:jc w:val="left"/>
        <w:rPr/>
      </w:pPr>
      <w:r>
        <w:rPr/>
        <w:t xml:space="preserve">policy denials </w:t>
      </w:r>
    </w:p>
    <w:p>
      <w:pPr>
        <w:pStyle w:val="BodyText"/>
        <w:numPr>
          <w:ilvl w:val="0"/>
          <w:numId w:val="61"/>
        </w:numPr>
        <w:tabs>
          <w:tab w:val="clear" w:pos="1134"/>
          <w:tab w:val="left" w:pos="709" w:leader="none"/>
        </w:tabs>
        <w:bidi w:val="0"/>
        <w:spacing w:before="0" w:after="0"/>
        <w:ind w:hanging="283" w:left="709"/>
        <w:jc w:val="left"/>
        <w:rPr/>
      </w:pPr>
      <w:r>
        <w:rPr/>
        <w:t xml:space="preserve">provider backpressure, rate-budget exhaustion, and queue admission or rejection events </w:t>
      </w:r>
    </w:p>
    <w:p>
      <w:pPr>
        <w:pStyle w:val="BodyText"/>
        <w:numPr>
          <w:ilvl w:val="0"/>
          <w:numId w:val="61"/>
        </w:numPr>
        <w:tabs>
          <w:tab w:val="clear" w:pos="1134"/>
          <w:tab w:val="left" w:pos="709" w:leader="none"/>
        </w:tabs>
        <w:bidi w:val="0"/>
        <w:spacing w:before="0" w:after="0"/>
        <w:ind w:hanging="283" w:left="709"/>
        <w:jc w:val="left"/>
        <w:rPr/>
      </w:pPr>
      <w:r>
        <w:rPr/>
        <w:t xml:space="preserve">scheduled retries, failover decisions, and provider-selection changes </w:t>
      </w:r>
    </w:p>
    <w:p>
      <w:pPr>
        <w:pStyle w:val="BodyText"/>
        <w:numPr>
          <w:ilvl w:val="0"/>
          <w:numId w:val="61"/>
        </w:numPr>
        <w:tabs>
          <w:tab w:val="clear" w:pos="1134"/>
          <w:tab w:val="left" w:pos="709" w:leader="none"/>
        </w:tabs>
        <w:bidi w:val="0"/>
        <w:spacing w:before="0" w:after="0"/>
        <w:ind w:hanging="283" w:left="709"/>
        <w:jc w:val="left"/>
        <w:rPr/>
      </w:pPr>
      <w:r>
        <w:rPr/>
        <w:t xml:space="preserve">provider auth, billing, contract, or policy failures that affect execution </w:t>
      </w:r>
    </w:p>
    <w:p>
      <w:pPr>
        <w:pStyle w:val="BodyText"/>
        <w:numPr>
          <w:ilvl w:val="0"/>
          <w:numId w:val="61"/>
        </w:numPr>
        <w:tabs>
          <w:tab w:val="clear" w:pos="1134"/>
          <w:tab w:val="left" w:pos="709" w:leader="none"/>
        </w:tabs>
        <w:bidi w:val="0"/>
        <w:spacing w:before="0" w:after="0"/>
        <w:ind w:hanging="283" w:left="709"/>
        <w:jc w:val="left"/>
        <w:rPr/>
      </w:pPr>
      <w:r>
        <w:rPr/>
        <w:t xml:space="preserve">detected </w:t>
      </w:r>
      <w:r>
        <w:rPr>
          <w:rStyle w:val="SourceText"/>
        </w:rPr>
        <w:t>GAID</w:t>
      </w:r>
      <w:r>
        <w:rPr/>
        <w:t xml:space="preserve"> scope or operating-surface violations </w:t>
      </w:r>
    </w:p>
    <w:p>
      <w:pPr>
        <w:pStyle w:val="BodyText"/>
        <w:numPr>
          <w:ilvl w:val="0"/>
          <w:numId w:val="61"/>
        </w:numPr>
        <w:tabs>
          <w:tab w:val="clear" w:pos="1134"/>
          <w:tab w:val="left" w:pos="709" w:leader="none"/>
        </w:tabs>
        <w:bidi w:val="0"/>
        <w:spacing w:before="0" w:after="0"/>
        <w:ind w:hanging="283" w:left="709"/>
        <w:jc w:val="left"/>
        <w:rPr/>
      </w:pPr>
      <w:r>
        <w:rPr/>
        <w:t xml:space="preserve">model and provider attribution for consequential actions </w:t>
      </w:r>
    </w:p>
    <w:p>
      <w:pPr>
        <w:pStyle w:val="BodyText"/>
        <w:numPr>
          <w:ilvl w:val="0"/>
          <w:numId w:val="61"/>
        </w:numPr>
        <w:tabs>
          <w:tab w:val="clear" w:pos="1134"/>
          <w:tab w:val="left" w:pos="709" w:leader="none"/>
        </w:tabs>
        <w:bidi w:val="0"/>
        <w:spacing w:before="0" w:after="0"/>
        <w:ind w:hanging="283" w:left="709"/>
        <w:jc w:val="left"/>
        <w:rPr/>
      </w:pPr>
      <w:r>
        <w:rPr/>
        <w:t xml:space="preserve">governed decisions taken before consequential actions, and the linkage between the decision and the action it authorized </w:t>
      </w:r>
    </w:p>
    <w:p>
      <w:pPr>
        <w:pStyle w:val="BodyText"/>
        <w:numPr>
          <w:ilvl w:val="0"/>
          <w:numId w:val="61"/>
        </w:numPr>
        <w:tabs>
          <w:tab w:val="clear" w:pos="1134"/>
          <w:tab w:val="left" w:pos="709" w:leader="none"/>
        </w:tabs>
        <w:bidi w:val="0"/>
        <w:ind w:hanging="283" w:left="709"/>
        <w:jc w:val="left"/>
        <w:rPr/>
      </w:pPr>
      <w:r>
        <w:rPr/>
        <w:t xml:space="preserve">the observed outcome of an authorized consequential action </w:t>
      </w:r>
    </w:p>
    <w:p>
      <w:pPr>
        <w:pStyle w:val="Heading3"/>
        <w:bidi w:val="0"/>
        <w:jc w:val="left"/>
        <w:rPr/>
      </w:pPr>
      <w:r>
        <w:rPr/>
        <w:t>13.2 Evidence Fields</w:t>
      </w:r>
    </w:p>
    <w:p>
      <w:pPr>
        <w:pStyle w:val="BodyText"/>
        <w:bidi w:val="0"/>
        <w:jc w:val="left"/>
        <w:rPr/>
      </w:pPr>
      <w:r>
        <w:rPr/>
        <w:t xml:space="preserve">Audit records </w:t>
      </w:r>
      <w:r>
        <w:rPr>
          <w:rStyle w:val="SourceText"/>
        </w:rPr>
        <w:t>SHOULD</w:t>
      </w:r>
      <w:r>
        <w:rPr/>
        <w:t xml:space="preserve"> include:</w:t>
      </w:r>
    </w:p>
    <w:p>
      <w:pPr>
        <w:pStyle w:val="BodyText"/>
        <w:numPr>
          <w:ilvl w:val="0"/>
          <w:numId w:val="62"/>
        </w:numPr>
        <w:tabs>
          <w:tab w:val="clear" w:pos="1134"/>
          <w:tab w:val="left" w:pos="709" w:leader="none"/>
        </w:tabs>
        <w:bidi w:val="0"/>
        <w:spacing w:before="0" w:after="0"/>
        <w:ind w:hanging="283" w:left="709"/>
        <w:jc w:val="left"/>
        <w:rPr/>
      </w:pPr>
      <w:r>
        <w:rPr/>
        <w:t xml:space="preserve">agent identity </w:t>
      </w:r>
    </w:p>
    <w:p>
      <w:pPr>
        <w:pStyle w:val="BodyText"/>
        <w:numPr>
          <w:ilvl w:val="0"/>
          <w:numId w:val="62"/>
        </w:numPr>
        <w:tabs>
          <w:tab w:val="clear" w:pos="1134"/>
          <w:tab w:val="left" w:pos="709" w:leader="none"/>
        </w:tabs>
        <w:bidi w:val="0"/>
        <w:spacing w:before="0" w:after="0"/>
        <w:ind w:hanging="283" w:left="709"/>
        <w:jc w:val="left"/>
        <w:rPr/>
      </w:pPr>
      <w:r>
        <w:rPr/>
        <w:t xml:space="preserve">acting principal </w:t>
      </w:r>
    </w:p>
    <w:p>
      <w:pPr>
        <w:pStyle w:val="BodyText"/>
        <w:numPr>
          <w:ilvl w:val="0"/>
          <w:numId w:val="62"/>
        </w:numPr>
        <w:tabs>
          <w:tab w:val="clear" w:pos="1134"/>
          <w:tab w:val="left" w:pos="709" w:leader="none"/>
        </w:tabs>
        <w:bidi w:val="0"/>
        <w:spacing w:before="0" w:after="0"/>
        <w:ind w:hanging="283" w:left="709"/>
        <w:jc w:val="left"/>
        <w:rPr/>
      </w:pPr>
      <w:r>
        <w:rPr/>
        <w:t xml:space="preserve">route or workflow context </w:t>
      </w:r>
    </w:p>
    <w:p>
      <w:pPr>
        <w:pStyle w:val="BodyText"/>
        <w:numPr>
          <w:ilvl w:val="0"/>
          <w:numId w:val="62"/>
        </w:numPr>
        <w:tabs>
          <w:tab w:val="clear" w:pos="1134"/>
          <w:tab w:val="left" w:pos="709" w:leader="none"/>
        </w:tabs>
        <w:bidi w:val="0"/>
        <w:spacing w:before="0" w:after="0"/>
        <w:ind w:hanging="283" w:left="709"/>
        <w:jc w:val="left"/>
        <w:rPr/>
      </w:pPr>
      <w:r>
        <w:rPr/>
        <w:t xml:space="preserve">action or tool name </w:t>
      </w:r>
    </w:p>
    <w:p>
      <w:pPr>
        <w:pStyle w:val="BodyText"/>
        <w:numPr>
          <w:ilvl w:val="0"/>
          <w:numId w:val="62"/>
        </w:numPr>
        <w:tabs>
          <w:tab w:val="clear" w:pos="1134"/>
          <w:tab w:val="left" w:pos="709" w:leader="none"/>
        </w:tabs>
        <w:bidi w:val="0"/>
        <w:spacing w:before="0" w:after="0"/>
        <w:ind w:hanging="283" w:left="709"/>
        <w:jc w:val="left"/>
        <w:rPr/>
      </w:pPr>
      <w:r>
        <w:rPr/>
        <w:t xml:space="preserve">parameters or parameter digest </w:t>
      </w:r>
    </w:p>
    <w:p>
      <w:pPr>
        <w:pStyle w:val="BodyText"/>
        <w:numPr>
          <w:ilvl w:val="0"/>
          <w:numId w:val="62"/>
        </w:numPr>
        <w:tabs>
          <w:tab w:val="clear" w:pos="1134"/>
          <w:tab w:val="left" w:pos="709" w:leader="none"/>
        </w:tabs>
        <w:bidi w:val="0"/>
        <w:spacing w:before="0" w:after="0"/>
        <w:ind w:hanging="283" w:left="709"/>
        <w:jc w:val="left"/>
        <w:rPr/>
      </w:pPr>
      <w:r>
        <w:rPr/>
        <w:t xml:space="preserve">result or result digest </w:t>
      </w:r>
    </w:p>
    <w:p>
      <w:pPr>
        <w:pStyle w:val="BodyText"/>
        <w:numPr>
          <w:ilvl w:val="0"/>
          <w:numId w:val="62"/>
        </w:numPr>
        <w:tabs>
          <w:tab w:val="clear" w:pos="1134"/>
          <w:tab w:val="left" w:pos="709" w:leader="none"/>
        </w:tabs>
        <w:bidi w:val="0"/>
        <w:spacing w:before="0" w:after="0"/>
        <w:ind w:hanging="283" w:left="709"/>
        <w:jc w:val="left"/>
        <w:rPr/>
      </w:pPr>
      <w:r>
        <w:rPr/>
        <w:t xml:space="preserve">execution mode </w:t>
      </w:r>
    </w:p>
    <w:p>
      <w:pPr>
        <w:pStyle w:val="BodyText"/>
        <w:numPr>
          <w:ilvl w:val="0"/>
          <w:numId w:val="62"/>
        </w:numPr>
        <w:tabs>
          <w:tab w:val="clear" w:pos="1134"/>
          <w:tab w:val="left" w:pos="709" w:leader="none"/>
        </w:tabs>
        <w:bidi w:val="0"/>
        <w:spacing w:before="0" w:after="0"/>
        <w:ind w:hanging="283" w:left="709"/>
        <w:jc w:val="left"/>
        <w:rPr/>
      </w:pPr>
      <w:r>
        <w:rPr/>
        <w:t xml:space="preserve">queue state and retry count where applicable </w:t>
      </w:r>
    </w:p>
    <w:p>
      <w:pPr>
        <w:pStyle w:val="BodyText"/>
        <w:numPr>
          <w:ilvl w:val="0"/>
          <w:numId w:val="62"/>
        </w:numPr>
        <w:tabs>
          <w:tab w:val="clear" w:pos="1134"/>
          <w:tab w:val="left" w:pos="709" w:leader="none"/>
        </w:tabs>
        <w:bidi w:val="0"/>
        <w:spacing w:before="0" w:after="0"/>
        <w:ind w:hanging="283" w:left="709"/>
        <w:jc w:val="left"/>
        <w:rPr/>
      </w:pPr>
      <w:r>
        <w:rPr/>
        <w:t xml:space="preserve">provider budget or backpressure state where applicable </w:t>
      </w:r>
    </w:p>
    <w:p>
      <w:pPr>
        <w:pStyle w:val="BodyText"/>
        <w:numPr>
          <w:ilvl w:val="0"/>
          <w:numId w:val="62"/>
        </w:numPr>
        <w:tabs>
          <w:tab w:val="clear" w:pos="1134"/>
          <w:tab w:val="left" w:pos="709" w:leader="none"/>
        </w:tabs>
        <w:bidi w:val="0"/>
        <w:spacing w:before="0" w:after="0"/>
        <w:ind w:hanging="283" w:left="709"/>
        <w:jc w:val="left"/>
        <w:rPr/>
      </w:pPr>
      <w:r>
        <w:rPr/>
        <w:t xml:space="preserve">selected provider and model, and substituted provider and model if failover occurred </w:t>
      </w:r>
    </w:p>
    <w:p>
      <w:pPr>
        <w:pStyle w:val="BodyText"/>
        <w:numPr>
          <w:ilvl w:val="0"/>
          <w:numId w:val="62"/>
        </w:numPr>
        <w:tabs>
          <w:tab w:val="clear" w:pos="1134"/>
          <w:tab w:val="left" w:pos="709" w:leader="none"/>
        </w:tabs>
        <w:bidi w:val="0"/>
        <w:spacing w:before="0" w:after="0"/>
        <w:ind w:hanging="283" w:left="709"/>
        <w:jc w:val="left"/>
        <w:rPr/>
      </w:pPr>
      <w:r>
        <w:rPr/>
        <w:t xml:space="preserve">timestamp </w:t>
      </w:r>
    </w:p>
    <w:p>
      <w:pPr>
        <w:pStyle w:val="BodyText"/>
        <w:numPr>
          <w:ilvl w:val="0"/>
          <w:numId w:val="62"/>
        </w:numPr>
        <w:tabs>
          <w:tab w:val="clear" w:pos="1134"/>
          <w:tab w:val="left" w:pos="709" w:leader="none"/>
        </w:tabs>
        <w:bidi w:val="0"/>
        <w:spacing w:before="0" w:after="0"/>
        <w:ind w:hanging="283" w:left="709"/>
        <w:jc w:val="left"/>
        <w:rPr/>
      </w:pPr>
      <w:r>
        <w:rPr/>
        <w:t xml:space="preserve">duration </w:t>
      </w:r>
    </w:p>
    <w:p>
      <w:pPr>
        <w:pStyle w:val="BodyText"/>
        <w:numPr>
          <w:ilvl w:val="0"/>
          <w:numId w:val="62"/>
        </w:numPr>
        <w:tabs>
          <w:tab w:val="clear" w:pos="1134"/>
          <w:tab w:val="left" w:pos="709" w:leader="none"/>
        </w:tabs>
        <w:bidi w:val="0"/>
        <w:ind w:hanging="283" w:left="709"/>
        <w:jc w:val="left"/>
        <w:rPr/>
      </w:pPr>
      <w:r>
        <w:rPr/>
        <w:t xml:space="preserve">success or failure </w:t>
      </w:r>
    </w:p>
    <w:p>
      <w:pPr>
        <w:pStyle w:val="Heading3"/>
        <w:bidi w:val="0"/>
        <w:jc w:val="left"/>
        <w:rPr/>
      </w:pPr>
      <w:r>
        <w:rPr/>
        <w:t>13.3 Decision Records and the Review Loop</w:t>
      </w:r>
    </w:p>
    <w:p>
      <w:pPr>
        <w:pStyle w:val="BodyText"/>
        <w:bidi w:val="0"/>
        <w:jc w:val="left"/>
        <w:rPr/>
      </w:pPr>
      <w:r>
        <w:rPr/>
        <w:t xml:space="preserve">Audit under §13.1 establishes what happened. It does not by itself establish whether the governing judgement was sound, or improve it. A runtime that gates consequential actions on a governed decision </w:t>
      </w:r>
      <w:r>
        <w:rPr>
          <w:rStyle w:val="SourceText"/>
        </w:rPr>
        <w:t>MUST</w:t>
      </w:r>
      <w:r>
        <w:rPr/>
        <w:t xml:space="preserve"> also preserve that decision as a record, and </w:t>
      </w:r>
      <w:r>
        <w:rPr>
          <w:rStyle w:val="SourceText"/>
        </w:rPr>
        <w:t>SHOULD</w:t>
      </w:r>
      <w:r>
        <w:rPr/>
        <w:t xml:space="preserve"> close the loop from the record back to the decision procedure.</w:t>
      </w:r>
    </w:p>
    <w:p>
      <w:pPr>
        <w:pStyle w:val="BodyText"/>
        <w:bidi w:val="0"/>
        <w:jc w:val="left"/>
        <w:rPr/>
      </w:pPr>
      <w:r>
        <w:rPr/>
        <w:t>A conforming implementation:</w:t>
      </w:r>
    </w:p>
    <w:p>
      <w:pPr>
        <w:pStyle w:val="BodyText"/>
        <w:numPr>
          <w:ilvl w:val="0"/>
          <w:numId w:val="63"/>
        </w:numPr>
        <w:tabs>
          <w:tab w:val="clear" w:pos="1134"/>
          <w:tab w:val="left" w:pos="709" w:leader="none"/>
        </w:tabs>
        <w:bidi w:val="0"/>
        <w:spacing w:before="0" w:after="0"/>
        <w:ind w:hanging="283" w:left="709"/>
        <w:jc w:val="left"/>
        <w:rPr/>
      </w:pPr>
      <w:r>
        <w:rPr>
          <w:rStyle w:val="SourceText"/>
        </w:rPr>
        <w:t>MUST</w:t>
      </w:r>
      <w:r>
        <w:rPr/>
        <w:t xml:space="preserve"> record, for each governed decision: the question, the options considered, the evidence and its sources, the recommendation, the outcome, and the risk class </w:t>
      </w:r>
    </w:p>
    <w:p>
      <w:pPr>
        <w:pStyle w:val="BodyText"/>
        <w:numPr>
          <w:ilvl w:val="0"/>
          <w:numId w:val="63"/>
        </w:numPr>
        <w:tabs>
          <w:tab w:val="clear" w:pos="1134"/>
          <w:tab w:val="left" w:pos="709" w:leader="none"/>
        </w:tabs>
        <w:bidi w:val="0"/>
        <w:spacing w:before="0" w:after="0"/>
        <w:ind w:hanging="283" w:left="709"/>
        <w:jc w:val="left"/>
        <w:rPr/>
      </w:pPr>
      <w:r>
        <w:rPr>
          <w:rStyle w:val="SourceText"/>
        </w:rPr>
        <w:t>MUST</w:t>
      </w:r>
      <w:r>
        <w:rPr/>
        <w:t xml:space="preserve"> bind the decision record to the action it authorized, so that an action can be traced to its authorization and an authorization to its effect </w:t>
      </w:r>
    </w:p>
    <w:p>
      <w:pPr>
        <w:pStyle w:val="BodyText"/>
        <w:numPr>
          <w:ilvl w:val="0"/>
          <w:numId w:val="63"/>
        </w:numPr>
        <w:tabs>
          <w:tab w:val="clear" w:pos="1134"/>
          <w:tab w:val="left" w:pos="709" w:leader="none"/>
        </w:tabs>
        <w:bidi w:val="0"/>
        <w:spacing w:before="0" w:after="0"/>
        <w:ind w:hanging="283" w:left="709"/>
        <w:jc w:val="left"/>
        <w:rPr/>
      </w:pPr>
      <w:r>
        <w:rPr>
          <w:rStyle w:val="SourceText"/>
        </w:rPr>
        <w:t>MUST</w:t>
      </w:r>
      <w:r>
        <w:rPr/>
        <w:t xml:space="preserve"> record the observed outcome of the authorized action — at minimum whether it succeeded, failed, or was subsequently reversed </w:t>
      </w:r>
    </w:p>
    <w:p>
      <w:pPr>
        <w:pStyle w:val="BodyText"/>
        <w:numPr>
          <w:ilvl w:val="0"/>
          <w:numId w:val="63"/>
        </w:numPr>
        <w:tabs>
          <w:tab w:val="clear" w:pos="1134"/>
          <w:tab w:val="left" w:pos="709" w:leader="none"/>
        </w:tabs>
        <w:bidi w:val="0"/>
        <w:spacing w:before="0" w:after="0"/>
        <w:ind w:hanging="283" w:left="709"/>
        <w:jc w:val="left"/>
        <w:rPr/>
      </w:pPr>
      <w:r>
        <w:rPr>
          <w:rStyle w:val="SourceText"/>
        </w:rPr>
        <w:t>SHOULD</w:t>
      </w:r>
      <w:r>
        <w:rPr/>
        <w:t xml:space="preserve"> protect decision records against retrospective alteration, for example by sealing them into an append-only structure </w:t>
      </w:r>
    </w:p>
    <w:p>
      <w:pPr>
        <w:pStyle w:val="BodyText"/>
        <w:numPr>
          <w:ilvl w:val="0"/>
          <w:numId w:val="63"/>
        </w:numPr>
        <w:tabs>
          <w:tab w:val="clear" w:pos="1134"/>
          <w:tab w:val="left" w:pos="709" w:leader="none"/>
        </w:tabs>
        <w:bidi w:val="0"/>
        <w:spacing w:before="0" w:after="0"/>
        <w:ind w:hanging="283" w:left="709"/>
        <w:jc w:val="left"/>
        <w:rPr/>
      </w:pPr>
      <w:r>
        <w:rPr>
          <w:rStyle w:val="SourceText"/>
        </w:rPr>
        <w:t>SHOULD</w:t>
      </w:r>
      <w:r>
        <w:rPr/>
        <w:t xml:space="preserve"> periodically re-evaluate whether the evidence a past decision relied on still holds </w:t>
      </w:r>
    </w:p>
    <w:p>
      <w:pPr>
        <w:pStyle w:val="BodyText"/>
        <w:numPr>
          <w:ilvl w:val="0"/>
          <w:numId w:val="63"/>
        </w:numPr>
        <w:tabs>
          <w:tab w:val="clear" w:pos="1134"/>
          <w:tab w:val="left" w:pos="709" w:leader="none"/>
        </w:tabs>
        <w:bidi w:val="0"/>
        <w:ind w:hanging="283" w:left="709"/>
        <w:jc w:val="left"/>
        <w:rPr/>
      </w:pPr>
      <w:r>
        <w:rPr>
          <w:rStyle w:val="SourceText"/>
        </w:rPr>
        <w:t>SHOULD</w:t>
      </w:r>
      <w:r>
        <w:rPr/>
        <w:t xml:space="preserve"> detect drift in the decision procedure itself, for example by re-scoring a frozen panel of canonical decisions against the current governing corpus and reporting changed outcomes </w:t>
      </w:r>
    </w:p>
    <w:p>
      <w:pPr>
        <w:pStyle w:val="BodyText"/>
        <w:bidi w:val="0"/>
        <w:jc w:val="left"/>
        <w:rPr/>
      </w:pPr>
      <w:r>
        <w:rPr>
          <w:rStyle w:val="Strong"/>
        </w:rPr>
        <w:t>Why outcome linkage is normative rather than advisory.</w:t>
      </w:r>
      <w:r>
        <w:rPr/>
        <w:t xml:space="preserve"> Where a human reviews or overrules each action, the human's ruling is itself a corrective signal, and a runtime can improve from rulings alone. Under autonomous operation that signal disappears: nobody overrules anything, so a system that learns only from rulings stops learning at exactly the point where its judgement is least supervised. Outcome linkage is the only corrective signal available in that mode, and an implementation claiming autonomous operation without it has an open loop, not a closed one.</w:t>
      </w:r>
    </w:p>
    <w:p>
      <w:pPr>
        <w:pStyle w:val="Heading3"/>
        <w:bidi w:val="0"/>
        <w:jc w:val="left"/>
        <w:rPr/>
      </w:pPr>
      <w:r>
        <w:rPr/>
        <w:t>13.4 Non-Repudiation</w:t>
      </w:r>
    </w:p>
    <w:p>
      <w:pPr>
        <w:pStyle w:val="BodyText"/>
        <w:bidi w:val="0"/>
        <w:jc w:val="left"/>
        <w:rPr/>
      </w:pPr>
      <w:r>
        <w:rPr/>
        <w:t xml:space="preserve">For </w:t>
      </w:r>
      <w:r>
        <w:rPr>
          <w:rStyle w:val="SourceText"/>
        </w:rPr>
        <w:t>TAK-Assured</w:t>
      </w:r>
      <w:r>
        <w:rPr/>
        <w:t xml:space="preserve">, the runtime </w:t>
      </w:r>
      <w:r>
        <w:rPr>
          <w:rStyle w:val="SourceText"/>
        </w:rPr>
        <w:t>SHOULD</w:t>
      </w:r>
      <w:r>
        <w:rPr/>
        <w:t xml:space="preserve"> support cryptographic binding or message-level evidence sufficient to prove:</w:t>
      </w:r>
    </w:p>
    <w:p>
      <w:pPr>
        <w:pStyle w:val="BodyText"/>
        <w:numPr>
          <w:ilvl w:val="0"/>
          <w:numId w:val="64"/>
        </w:numPr>
        <w:tabs>
          <w:tab w:val="clear" w:pos="1134"/>
          <w:tab w:val="left" w:pos="709" w:leader="none"/>
        </w:tabs>
        <w:bidi w:val="0"/>
        <w:spacing w:before="0" w:after="0"/>
        <w:ind w:hanging="283" w:left="709"/>
        <w:jc w:val="left"/>
        <w:rPr/>
      </w:pPr>
      <w:r>
        <w:rPr/>
        <w:t xml:space="preserve">who requested or approved an action </w:t>
      </w:r>
    </w:p>
    <w:p>
      <w:pPr>
        <w:pStyle w:val="BodyText"/>
        <w:numPr>
          <w:ilvl w:val="0"/>
          <w:numId w:val="64"/>
        </w:numPr>
        <w:tabs>
          <w:tab w:val="clear" w:pos="1134"/>
          <w:tab w:val="left" w:pos="709" w:leader="none"/>
        </w:tabs>
        <w:bidi w:val="0"/>
        <w:spacing w:before="0" w:after="0"/>
        <w:ind w:hanging="283" w:left="709"/>
        <w:jc w:val="left"/>
        <w:rPr/>
      </w:pPr>
      <w:r>
        <w:rPr/>
        <w:t xml:space="preserve">what action was attempted or completed </w:t>
      </w:r>
    </w:p>
    <w:p>
      <w:pPr>
        <w:pStyle w:val="BodyText"/>
        <w:numPr>
          <w:ilvl w:val="0"/>
          <w:numId w:val="64"/>
        </w:numPr>
        <w:tabs>
          <w:tab w:val="clear" w:pos="1134"/>
          <w:tab w:val="left" w:pos="709" w:leader="none"/>
        </w:tabs>
        <w:bidi w:val="0"/>
        <w:ind w:hanging="283" w:left="709"/>
        <w:jc w:val="left"/>
        <w:rPr/>
      </w:pPr>
      <w:r>
        <w:rPr/>
        <w:t xml:space="preserve">what evidence supports that conclusion </w:t>
      </w:r>
    </w:p>
    <w:p>
      <w:pPr>
        <w:pStyle w:val="BodyText"/>
        <w:bidi w:val="0"/>
        <w:jc w:val="left"/>
        <w:rPr/>
      </w:pPr>
      <w:r>
        <w:rPr>
          <w:rStyle w:val="SourceText"/>
        </w:rPr>
        <w:t>GAID</w:t>
      </w:r>
      <w:r>
        <w:rPr/>
        <w:t xml:space="preserve"> provides the companion identity and receipt model for this purpose.</w:t>
      </w:r>
    </w:p>
    <w:p>
      <w:pPr>
        <w:pStyle w:val="BodyText"/>
        <w:bidi w:val="0"/>
        <w:jc w:val="left"/>
        <w:rPr/>
      </w:pPr>
      <w:r>
        <w:rPr/>
        <w:drawing>
          <wp:inline distT="0" distB="0" distL="0" distR="0">
            <wp:extent cx="22402800" cy="24517350"/>
            <wp:effectExtent l="0" t="0" r="0" b="0"/>
            <wp:docPr id="7" name="Image7" descr="TAK audit su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TAK audit surfaces"/>
                    <pic:cNvPicPr>
                      <a:picLocks noChangeAspect="1" noChangeArrowheads="1"/>
                    </pic:cNvPicPr>
                  </pic:nvPicPr>
                  <pic:blipFill>
                    <a:blip r:embed="rId55"/>
                    <a:stretch>
                      <a:fillRect/>
                    </a:stretch>
                  </pic:blipFill>
                  <pic:spPr bwMode="auto">
                    <a:xfrm>
                      <a:off x="0" y="0"/>
                      <a:ext cx="22402800" cy="24517350"/>
                    </a:xfrm>
                    <a:prstGeom prst="rect">
                      <a:avLst/>
                    </a:prstGeom>
                    <a:noFill/>
                  </pic:spPr>
                </pic:pic>
              </a:graphicData>
            </a:graphic>
          </wp:inline>
        </w:drawing>
      </w:r>
    </w:p>
    <w:p>
      <w:pPr>
        <w:pStyle w:val="BodyText"/>
        <w:bidi w:val="0"/>
        <w:jc w:val="left"/>
        <w:rPr/>
      </w:pPr>
      <w:r>
        <w:rPr>
          <w:rStyle w:val="Emphasis"/>
        </w:rPr>
        <w:t>Figure 5. Audit is not a side effect of the runtime. It is part of the runtime.</w:t>
      </w:r>
    </w:p>
    <w:p>
      <w:pPr>
        <w:pStyle w:val="Heading2"/>
        <w:bidi w:val="0"/>
        <w:jc w:val="left"/>
        <w:rPr/>
      </w:pPr>
      <w:r>
        <w:rPr/>
        <w:t>14. Runtime Transparency</w:t>
      </w:r>
    </w:p>
    <w:p>
      <w:pPr>
        <w:pStyle w:val="Heading3"/>
        <w:bidi w:val="0"/>
        <w:jc w:val="left"/>
        <w:rPr/>
      </w:pPr>
      <w:r>
        <w:rPr/>
        <w:t>14.1 Required Transparency</w:t>
      </w:r>
    </w:p>
    <w:p>
      <w:pPr>
        <w:pStyle w:val="BodyText"/>
        <w:bidi w:val="0"/>
        <w:jc w:val="left"/>
        <w:rPr/>
      </w:pPr>
      <w:r>
        <w:rPr/>
        <w:t xml:space="preserve">A </w:t>
      </w:r>
      <w:r>
        <w:rPr>
          <w:rStyle w:val="SourceText"/>
        </w:rPr>
        <w:t>TAK-Managed</w:t>
      </w:r>
      <w:r>
        <w:rPr/>
        <w:t xml:space="preserve"> implementation </w:t>
      </w:r>
      <w:r>
        <w:rPr>
          <w:rStyle w:val="SourceText"/>
        </w:rPr>
        <w:t>MUST</w:t>
      </w:r>
      <w:r>
        <w:rPr/>
        <w:t xml:space="preserve"> provide operators with a way to inspect:</w:t>
      </w:r>
    </w:p>
    <w:p>
      <w:pPr>
        <w:pStyle w:val="BodyText"/>
        <w:numPr>
          <w:ilvl w:val="0"/>
          <w:numId w:val="65"/>
        </w:numPr>
        <w:tabs>
          <w:tab w:val="clear" w:pos="1134"/>
          <w:tab w:val="left" w:pos="709" w:leader="none"/>
        </w:tabs>
        <w:bidi w:val="0"/>
        <w:spacing w:before="0" w:after="0"/>
        <w:ind w:hanging="283" w:left="709"/>
        <w:jc w:val="left"/>
        <w:rPr/>
      </w:pPr>
      <w:r>
        <w:rPr/>
        <w:t xml:space="preserve">effective permissions </w:t>
      </w:r>
    </w:p>
    <w:p>
      <w:pPr>
        <w:pStyle w:val="BodyText"/>
        <w:numPr>
          <w:ilvl w:val="0"/>
          <w:numId w:val="65"/>
        </w:numPr>
        <w:tabs>
          <w:tab w:val="clear" w:pos="1134"/>
          <w:tab w:val="left" w:pos="709" w:leader="none"/>
        </w:tabs>
        <w:bidi w:val="0"/>
        <w:spacing w:before="0" w:after="0"/>
        <w:ind w:hanging="283" w:left="709"/>
        <w:jc w:val="left"/>
        <w:rPr/>
      </w:pPr>
      <w:r>
        <w:rPr/>
        <w:t xml:space="preserve">active tools </w:t>
      </w:r>
    </w:p>
    <w:p>
      <w:pPr>
        <w:pStyle w:val="BodyText"/>
        <w:numPr>
          <w:ilvl w:val="0"/>
          <w:numId w:val="65"/>
        </w:numPr>
        <w:tabs>
          <w:tab w:val="clear" w:pos="1134"/>
          <w:tab w:val="left" w:pos="709" w:leader="none"/>
        </w:tabs>
        <w:bidi w:val="0"/>
        <w:spacing w:before="0" w:after="0"/>
        <w:ind w:hanging="283" w:left="709"/>
        <w:jc w:val="left"/>
        <w:rPr/>
      </w:pPr>
      <w:r>
        <w:rPr/>
        <w:t xml:space="preserve">oversight tier </w:t>
      </w:r>
    </w:p>
    <w:p>
      <w:pPr>
        <w:pStyle w:val="BodyText"/>
        <w:numPr>
          <w:ilvl w:val="0"/>
          <w:numId w:val="65"/>
        </w:numPr>
        <w:tabs>
          <w:tab w:val="clear" w:pos="1134"/>
          <w:tab w:val="left" w:pos="709" w:leader="none"/>
        </w:tabs>
        <w:bidi w:val="0"/>
        <w:spacing w:before="0" w:after="0"/>
        <w:ind w:hanging="283" w:left="709"/>
        <w:jc w:val="left"/>
        <w:rPr/>
      </w:pPr>
      <w:r>
        <w:rPr/>
        <w:t xml:space="preserve">recent actions </w:t>
      </w:r>
    </w:p>
    <w:p>
      <w:pPr>
        <w:pStyle w:val="BodyText"/>
        <w:numPr>
          <w:ilvl w:val="0"/>
          <w:numId w:val="65"/>
        </w:numPr>
        <w:tabs>
          <w:tab w:val="clear" w:pos="1134"/>
          <w:tab w:val="left" w:pos="709" w:leader="none"/>
        </w:tabs>
        <w:bidi w:val="0"/>
        <w:spacing w:before="0" w:after="0"/>
        <w:ind w:hanging="283" w:left="709"/>
        <w:jc w:val="left"/>
        <w:rPr/>
      </w:pPr>
      <w:r>
        <w:rPr/>
        <w:t xml:space="preserve">proposal state </w:t>
      </w:r>
    </w:p>
    <w:p>
      <w:pPr>
        <w:pStyle w:val="BodyText"/>
        <w:numPr>
          <w:ilvl w:val="0"/>
          <w:numId w:val="65"/>
        </w:numPr>
        <w:tabs>
          <w:tab w:val="clear" w:pos="1134"/>
          <w:tab w:val="left" w:pos="709" w:leader="none"/>
        </w:tabs>
        <w:bidi w:val="0"/>
        <w:spacing w:before="0" w:after="0"/>
        <w:ind w:hanging="283" w:left="709"/>
        <w:jc w:val="left"/>
        <w:rPr/>
      </w:pPr>
      <w:r>
        <w:rPr/>
        <w:t xml:space="preserve">queue, retry, and deferral state </w:t>
      </w:r>
    </w:p>
    <w:p>
      <w:pPr>
        <w:pStyle w:val="BodyText"/>
        <w:numPr>
          <w:ilvl w:val="0"/>
          <w:numId w:val="65"/>
        </w:numPr>
        <w:tabs>
          <w:tab w:val="clear" w:pos="1134"/>
          <w:tab w:val="left" w:pos="709" w:leader="none"/>
        </w:tabs>
        <w:bidi w:val="0"/>
        <w:spacing w:before="0" w:after="0"/>
        <w:ind w:hanging="283" w:left="709"/>
        <w:jc w:val="left"/>
        <w:rPr/>
      </w:pPr>
      <w:r>
        <w:rPr/>
        <w:t xml:space="preserve">provider budget, backpressure, and failover state </w:t>
      </w:r>
    </w:p>
    <w:p>
      <w:pPr>
        <w:pStyle w:val="BodyText"/>
        <w:numPr>
          <w:ilvl w:val="0"/>
          <w:numId w:val="65"/>
        </w:numPr>
        <w:tabs>
          <w:tab w:val="clear" w:pos="1134"/>
          <w:tab w:val="left" w:pos="709" w:leader="none"/>
        </w:tabs>
        <w:bidi w:val="0"/>
        <w:ind w:hanging="283" w:left="709"/>
        <w:jc w:val="left"/>
        <w:rPr/>
      </w:pPr>
      <w:r>
        <w:rPr/>
        <w:t xml:space="preserve">failures and retries </w:t>
      </w:r>
    </w:p>
    <w:p>
      <w:pPr>
        <w:pStyle w:val="Heading3"/>
        <w:bidi w:val="0"/>
        <w:jc w:val="left"/>
        <w:rPr/>
      </w:pPr>
      <w:r>
        <w:rPr/>
        <w:t>14.2 Human-Facing Honesty</w:t>
      </w:r>
    </w:p>
    <w:p>
      <w:pPr>
        <w:pStyle w:val="BodyText"/>
        <w:bidi w:val="0"/>
        <w:jc w:val="left"/>
        <w:rPr/>
      </w:pPr>
      <w:r>
        <w:rPr/>
        <w:t xml:space="preserve">The runtime </w:t>
      </w:r>
      <w:r>
        <w:rPr>
          <w:rStyle w:val="SourceText"/>
        </w:rPr>
        <w:t>MUST</w:t>
      </w:r>
      <w:r>
        <w:rPr/>
        <w:t xml:space="preserve"> prevent or correct outputs that falsely claim:</w:t>
      </w:r>
    </w:p>
    <w:p>
      <w:pPr>
        <w:pStyle w:val="BodyText"/>
        <w:numPr>
          <w:ilvl w:val="0"/>
          <w:numId w:val="66"/>
        </w:numPr>
        <w:tabs>
          <w:tab w:val="clear" w:pos="1134"/>
          <w:tab w:val="left" w:pos="709" w:leader="none"/>
        </w:tabs>
        <w:bidi w:val="0"/>
        <w:spacing w:before="0" w:after="0"/>
        <w:ind w:hanging="283" w:left="709"/>
        <w:jc w:val="left"/>
        <w:rPr/>
      </w:pPr>
      <w:r>
        <w:rPr/>
        <w:t xml:space="preserve">completion without evidence </w:t>
      </w:r>
    </w:p>
    <w:p>
      <w:pPr>
        <w:pStyle w:val="BodyText"/>
        <w:numPr>
          <w:ilvl w:val="0"/>
          <w:numId w:val="66"/>
        </w:numPr>
        <w:tabs>
          <w:tab w:val="clear" w:pos="1134"/>
          <w:tab w:val="left" w:pos="709" w:leader="none"/>
        </w:tabs>
        <w:bidi w:val="0"/>
        <w:spacing w:before="0" w:after="0"/>
        <w:ind w:hanging="283" w:left="709"/>
        <w:jc w:val="left"/>
        <w:rPr/>
      </w:pPr>
      <w:r>
        <w:rPr/>
        <w:t xml:space="preserve">deployment without deployment </w:t>
      </w:r>
    </w:p>
    <w:p>
      <w:pPr>
        <w:pStyle w:val="BodyText"/>
        <w:numPr>
          <w:ilvl w:val="0"/>
          <w:numId w:val="66"/>
        </w:numPr>
        <w:tabs>
          <w:tab w:val="clear" w:pos="1134"/>
          <w:tab w:val="left" w:pos="709" w:leader="none"/>
        </w:tabs>
        <w:bidi w:val="0"/>
        <w:spacing w:before="0" w:after="0"/>
        <w:ind w:hanging="283" w:left="709"/>
        <w:jc w:val="left"/>
        <w:rPr/>
      </w:pPr>
      <w:r>
        <w:rPr/>
        <w:t xml:space="preserve">creation without creation </w:t>
      </w:r>
    </w:p>
    <w:p>
      <w:pPr>
        <w:pStyle w:val="BodyText"/>
        <w:numPr>
          <w:ilvl w:val="0"/>
          <w:numId w:val="66"/>
        </w:numPr>
        <w:tabs>
          <w:tab w:val="clear" w:pos="1134"/>
          <w:tab w:val="left" w:pos="709" w:leader="none"/>
        </w:tabs>
        <w:bidi w:val="0"/>
        <w:ind w:hanging="283" w:left="709"/>
        <w:jc w:val="left"/>
        <w:rPr/>
      </w:pPr>
      <w:r>
        <w:rPr/>
        <w:t xml:space="preserve">testing without testing </w:t>
      </w:r>
    </w:p>
    <w:p>
      <w:pPr>
        <w:pStyle w:val="BodyText"/>
        <w:bidi w:val="0"/>
        <w:jc w:val="left"/>
        <w:rPr/>
      </w:pPr>
      <w:r>
        <w:rPr/>
        <w:t>This control is fundamental to trust.</w:t>
      </w:r>
    </w:p>
    <w:p>
      <w:pPr>
        <w:pStyle w:val="Heading2"/>
        <w:bidi w:val="0"/>
        <w:jc w:val="left"/>
        <w:rPr/>
      </w:pPr>
      <w:r>
        <w:rPr/>
        <w:t>15. Safety and Security Controls</w:t>
      </w:r>
    </w:p>
    <w:p>
      <w:pPr>
        <w:pStyle w:val="Heading3"/>
        <w:bidi w:val="0"/>
        <w:jc w:val="left"/>
        <w:rPr/>
      </w:pPr>
      <w:r>
        <w:rPr/>
        <w:t>15.1 Fabrication and Unsafe Narration</w:t>
      </w:r>
    </w:p>
    <w:p>
      <w:pPr>
        <w:pStyle w:val="BodyText"/>
        <w:bidi w:val="0"/>
        <w:jc w:val="left"/>
        <w:rPr/>
      </w:pPr>
      <w:r>
        <w:rPr/>
        <w:t xml:space="preserve">A conforming runtime </w:t>
      </w:r>
      <w:r>
        <w:rPr>
          <w:rStyle w:val="SourceText"/>
        </w:rPr>
        <w:t>MUST</w:t>
      </w:r>
      <w:r>
        <w:rPr/>
        <w:t xml:space="preserve"> detect and mitigate situations where the model:</w:t>
      </w:r>
    </w:p>
    <w:p>
      <w:pPr>
        <w:pStyle w:val="BodyText"/>
        <w:numPr>
          <w:ilvl w:val="0"/>
          <w:numId w:val="67"/>
        </w:numPr>
        <w:tabs>
          <w:tab w:val="clear" w:pos="1134"/>
          <w:tab w:val="left" w:pos="709" w:leader="none"/>
        </w:tabs>
        <w:bidi w:val="0"/>
        <w:spacing w:before="0" w:after="0"/>
        <w:ind w:hanging="283" w:left="709"/>
        <w:jc w:val="left"/>
        <w:rPr/>
      </w:pPr>
      <w:r>
        <w:rPr/>
        <w:t xml:space="preserve">claims completion without tool evidence </w:t>
      </w:r>
    </w:p>
    <w:p>
      <w:pPr>
        <w:pStyle w:val="BodyText"/>
        <w:numPr>
          <w:ilvl w:val="0"/>
          <w:numId w:val="67"/>
        </w:numPr>
        <w:tabs>
          <w:tab w:val="clear" w:pos="1134"/>
          <w:tab w:val="left" w:pos="709" w:leader="none"/>
        </w:tabs>
        <w:bidi w:val="0"/>
        <w:spacing w:before="0" w:after="0"/>
        <w:ind w:hanging="283" w:left="709"/>
        <w:jc w:val="left"/>
        <w:rPr/>
      </w:pPr>
      <w:r>
        <w:rPr/>
        <w:t xml:space="preserve">narrates code or actions instead of performing governed tool use </w:t>
      </w:r>
    </w:p>
    <w:p>
      <w:pPr>
        <w:pStyle w:val="BodyText"/>
        <w:numPr>
          <w:ilvl w:val="0"/>
          <w:numId w:val="67"/>
        </w:numPr>
        <w:tabs>
          <w:tab w:val="clear" w:pos="1134"/>
          <w:tab w:val="left" w:pos="709" w:leader="none"/>
        </w:tabs>
        <w:bidi w:val="0"/>
        <w:ind w:hanging="283" w:left="709"/>
        <w:jc w:val="left"/>
        <w:rPr/>
      </w:pPr>
      <w:r>
        <w:rPr/>
        <w:t xml:space="preserve">loops on unproductive retries </w:t>
      </w:r>
    </w:p>
    <w:p>
      <w:pPr>
        <w:pStyle w:val="Heading3"/>
        <w:bidi w:val="0"/>
        <w:jc w:val="left"/>
        <w:rPr/>
      </w:pPr>
      <w:r>
        <w:rPr/>
        <w:t>15.2 Injection Resistance</w:t>
      </w:r>
    </w:p>
    <w:p>
      <w:pPr>
        <w:pStyle w:val="BodyText"/>
        <w:bidi w:val="0"/>
        <w:jc w:val="left"/>
        <w:rPr/>
      </w:pPr>
      <w:r>
        <w:rPr/>
        <w:t xml:space="preserve">The runtime </w:t>
      </w:r>
      <w:r>
        <w:rPr>
          <w:rStyle w:val="SourceText"/>
        </w:rPr>
        <w:t>SHOULD</w:t>
      </w:r>
      <w:r>
        <w:rPr/>
        <w:t xml:space="preserve"> implement layered defenses against:</w:t>
      </w:r>
    </w:p>
    <w:p>
      <w:pPr>
        <w:pStyle w:val="BodyText"/>
        <w:numPr>
          <w:ilvl w:val="0"/>
          <w:numId w:val="68"/>
        </w:numPr>
        <w:tabs>
          <w:tab w:val="clear" w:pos="1134"/>
          <w:tab w:val="left" w:pos="709" w:leader="none"/>
        </w:tabs>
        <w:bidi w:val="0"/>
        <w:spacing w:before="0" w:after="0"/>
        <w:ind w:hanging="283" w:left="709"/>
        <w:jc w:val="left"/>
        <w:rPr/>
      </w:pPr>
      <w:r>
        <w:rPr/>
        <w:t xml:space="preserve">prompt injection </w:t>
      </w:r>
    </w:p>
    <w:p>
      <w:pPr>
        <w:pStyle w:val="BodyText"/>
        <w:numPr>
          <w:ilvl w:val="0"/>
          <w:numId w:val="68"/>
        </w:numPr>
        <w:tabs>
          <w:tab w:val="clear" w:pos="1134"/>
          <w:tab w:val="left" w:pos="709" w:leader="none"/>
        </w:tabs>
        <w:bidi w:val="0"/>
        <w:spacing w:before="0" w:after="0"/>
        <w:ind w:hanging="283" w:left="709"/>
        <w:jc w:val="left"/>
        <w:rPr/>
      </w:pPr>
      <w:r>
        <w:rPr/>
        <w:t xml:space="preserve">malicious tool output used as instructions </w:t>
      </w:r>
    </w:p>
    <w:p>
      <w:pPr>
        <w:pStyle w:val="BodyText"/>
        <w:numPr>
          <w:ilvl w:val="0"/>
          <w:numId w:val="68"/>
        </w:numPr>
        <w:tabs>
          <w:tab w:val="clear" w:pos="1134"/>
          <w:tab w:val="left" w:pos="709" w:leader="none"/>
        </w:tabs>
        <w:bidi w:val="0"/>
        <w:spacing w:before="0" w:after="0"/>
        <w:ind w:hanging="283" w:left="709"/>
        <w:jc w:val="left"/>
        <w:rPr/>
      </w:pPr>
      <w:r>
        <w:rPr/>
        <w:t xml:space="preserve">unsafe skill or template injection </w:t>
      </w:r>
    </w:p>
    <w:p>
      <w:pPr>
        <w:pStyle w:val="BodyText"/>
        <w:numPr>
          <w:ilvl w:val="0"/>
          <w:numId w:val="68"/>
        </w:numPr>
        <w:tabs>
          <w:tab w:val="clear" w:pos="1134"/>
          <w:tab w:val="left" w:pos="709" w:leader="none"/>
        </w:tabs>
        <w:bidi w:val="0"/>
        <w:ind w:hanging="283" w:left="709"/>
        <w:jc w:val="left"/>
        <w:rPr/>
      </w:pPr>
      <w:r>
        <w:rPr/>
        <w:t xml:space="preserve">cross-agent context contamination </w:t>
      </w:r>
    </w:p>
    <w:p>
      <w:pPr>
        <w:pStyle w:val="Heading3"/>
        <w:bidi w:val="0"/>
        <w:jc w:val="left"/>
        <w:rPr/>
      </w:pPr>
      <w:r>
        <w:rPr/>
        <w:t>15.3 Sensitivity Handling</w:t>
      </w:r>
    </w:p>
    <w:p>
      <w:pPr>
        <w:pStyle w:val="BodyText"/>
        <w:bidi w:val="0"/>
        <w:jc w:val="left"/>
        <w:rPr/>
      </w:pPr>
      <w:r>
        <w:rPr/>
        <w:t xml:space="preserve">The runtime </w:t>
      </w:r>
      <w:r>
        <w:rPr>
          <w:rStyle w:val="SourceText"/>
        </w:rPr>
        <w:t>MUST</w:t>
      </w:r>
      <w:r>
        <w:rPr/>
        <w:t xml:space="preserve"> allow policy to vary by data sensitivity. At minimum, the implementation </w:t>
      </w:r>
      <w:r>
        <w:rPr>
          <w:rStyle w:val="SourceText"/>
        </w:rPr>
        <w:t>SHOULD</w:t>
      </w:r>
      <w:r>
        <w:rPr/>
        <w:t xml:space="preserve"> distinguish sensitivity classes such as:</w:t>
      </w:r>
    </w:p>
    <w:p>
      <w:pPr>
        <w:pStyle w:val="BodyText"/>
        <w:numPr>
          <w:ilvl w:val="0"/>
          <w:numId w:val="69"/>
        </w:numPr>
        <w:tabs>
          <w:tab w:val="clear" w:pos="1134"/>
          <w:tab w:val="left" w:pos="709" w:leader="none"/>
        </w:tabs>
        <w:bidi w:val="0"/>
        <w:spacing w:before="0" w:after="0"/>
        <w:ind w:hanging="283" w:left="709"/>
        <w:jc w:val="left"/>
        <w:rPr/>
      </w:pPr>
      <w:r>
        <w:rPr/>
        <w:t xml:space="preserve">public </w:t>
      </w:r>
    </w:p>
    <w:p>
      <w:pPr>
        <w:pStyle w:val="BodyText"/>
        <w:numPr>
          <w:ilvl w:val="0"/>
          <w:numId w:val="69"/>
        </w:numPr>
        <w:tabs>
          <w:tab w:val="clear" w:pos="1134"/>
          <w:tab w:val="left" w:pos="709" w:leader="none"/>
        </w:tabs>
        <w:bidi w:val="0"/>
        <w:spacing w:before="0" w:after="0"/>
        <w:ind w:hanging="283" w:left="709"/>
        <w:jc w:val="left"/>
        <w:rPr/>
      </w:pPr>
      <w:r>
        <w:rPr/>
        <w:t xml:space="preserve">internal </w:t>
      </w:r>
    </w:p>
    <w:p>
      <w:pPr>
        <w:pStyle w:val="BodyText"/>
        <w:numPr>
          <w:ilvl w:val="0"/>
          <w:numId w:val="69"/>
        </w:numPr>
        <w:tabs>
          <w:tab w:val="clear" w:pos="1134"/>
          <w:tab w:val="left" w:pos="709" w:leader="none"/>
        </w:tabs>
        <w:bidi w:val="0"/>
        <w:spacing w:before="0" w:after="0"/>
        <w:ind w:hanging="283" w:left="709"/>
        <w:jc w:val="left"/>
        <w:rPr/>
      </w:pPr>
      <w:r>
        <w:rPr/>
        <w:t xml:space="preserve">confidential </w:t>
      </w:r>
    </w:p>
    <w:p>
      <w:pPr>
        <w:pStyle w:val="BodyText"/>
        <w:numPr>
          <w:ilvl w:val="0"/>
          <w:numId w:val="69"/>
        </w:numPr>
        <w:tabs>
          <w:tab w:val="clear" w:pos="1134"/>
          <w:tab w:val="left" w:pos="709" w:leader="none"/>
        </w:tabs>
        <w:bidi w:val="0"/>
        <w:ind w:hanging="283" w:left="709"/>
        <w:jc w:val="left"/>
        <w:rPr/>
      </w:pPr>
      <w:r>
        <w:rPr/>
        <w:t xml:space="preserve">restricted </w:t>
      </w:r>
    </w:p>
    <w:p>
      <w:pPr>
        <w:pStyle w:val="BodyText"/>
        <w:bidi w:val="0"/>
        <w:jc w:val="left"/>
        <w:rPr/>
      </w:pPr>
      <w:r>
        <w:rPr/>
        <w:t xml:space="preserve">The runtime </w:t>
      </w:r>
      <w:r>
        <w:rPr>
          <w:rStyle w:val="SourceText"/>
        </w:rPr>
        <w:t>MUST NOT</w:t>
      </w:r>
      <w:r>
        <w:rPr/>
        <w:t xml:space="preserve"> silently route restricted data into lower-trust tools, providers, or delegated contexts that are not cleared for it.</w:t>
      </w:r>
    </w:p>
    <w:p>
      <w:pPr>
        <w:pStyle w:val="Heading3"/>
        <w:bidi w:val="0"/>
        <w:jc w:val="left"/>
        <w:rPr/>
      </w:pPr>
      <w:r>
        <w:rPr/>
        <w:t>15.4 Open-World Tooling</w:t>
      </w:r>
    </w:p>
    <w:p>
      <w:pPr>
        <w:pStyle w:val="BodyText"/>
        <w:bidi w:val="0"/>
        <w:jc w:val="left"/>
        <w:rPr/>
      </w:pPr>
      <w:r>
        <w:rPr/>
        <w:t xml:space="preserve">External network or cross-boundary tools </w:t>
      </w:r>
      <w:r>
        <w:rPr>
          <w:rStyle w:val="SourceText"/>
        </w:rPr>
        <w:t>SHOULD</w:t>
      </w:r>
      <w:r>
        <w:rPr/>
        <w:t xml:space="preserve"> be treated as higher-risk surfaces. A </w:t>
      </w:r>
      <w:r>
        <w:rPr>
          <w:rStyle w:val="SourceText"/>
        </w:rPr>
        <w:t>TAK-Managed</w:t>
      </w:r>
      <w:r>
        <w:rPr/>
        <w:t xml:space="preserve"> implementation </w:t>
      </w:r>
      <w:r>
        <w:rPr>
          <w:rStyle w:val="SourceText"/>
        </w:rPr>
        <w:t>SHOULD</w:t>
      </w:r>
      <w:r>
        <w:rPr/>
        <w:t xml:space="preserve"> explicitly classify such tools rather than treating them as ordinary local operations.</w:t>
      </w:r>
    </w:p>
    <w:p>
      <w:pPr>
        <w:pStyle w:val="Heading3"/>
        <w:bidi w:val="0"/>
        <w:jc w:val="left"/>
        <w:rPr/>
      </w:pPr>
      <w:r>
        <w:rPr/>
        <w:t>15.5 Threat-Model Alignment</w:t>
      </w:r>
    </w:p>
    <w:p>
      <w:pPr>
        <w:pStyle w:val="BodyText"/>
        <w:bidi w:val="0"/>
        <w:jc w:val="left"/>
        <w:rPr/>
      </w:pPr>
      <w:r>
        <w:rPr/>
        <w:t xml:space="preserve">An implementation </w:t>
      </w:r>
      <w:r>
        <w:rPr>
          <w:rStyle w:val="SourceText"/>
        </w:rPr>
        <w:t>SHOULD</w:t>
      </w:r>
      <w:r>
        <w:rPr/>
        <w:t xml:space="preserve"> maintain an explicit threat model for the agent runtime.</w:t>
      </w:r>
    </w:p>
    <w:p>
      <w:pPr>
        <w:pStyle w:val="BodyText"/>
        <w:bidi w:val="0"/>
        <w:jc w:val="left"/>
        <w:rPr/>
      </w:pPr>
      <w:r>
        <w:rPr/>
        <w:t xml:space="preserve">At minimum, that threat model </w:t>
      </w:r>
      <w:r>
        <w:rPr>
          <w:rStyle w:val="SourceText"/>
        </w:rPr>
        <w:t>SHOULD</w:t>
      </w:r>
      <w:r>
        <w:rPr/>
        <w:t xml:space="preserve"> identify:</w:t>
      </w:r>
    </w:p>
    <w:p>
      <w:pPr>
        <w:pStyle w:val="BodyText"/>
        <w:numPr>
          <w:ilvl w:val="0"/>
          <w:numId w:val="70"/>
        </w:numPr>
        <w:tabs>
          <w:tab w:val="clear" w:pos="1134"/>
          <w:tab w:val="left" w:pos="709" w:leader="none"/>
        </w:tabs>
        <w:bidi w:val="0"/>
        <w:spacing w:before="0" w:after="0"/>
        <w:ind w:hanging="283" w:left="709"/>
        <w:jc w:val="left"/>
        <w:rPr/>
      </w:pPr>
      <w:r>
        <w:rPr/>
        <w:t xml:space="preserve">protected assets such as authority context, tool credentials, memory, evidence, and provider bindings </w:t>
      </w:r>
    </w:p>
    <w:p>
      <w:pPr>
        <w:pStyle w:val="BodyText"/>
        <w:numPr>
          <w:ilvl w:val="0"/>
          <w:numId w:val="70"/>
        </w:numPr>
        <w:tabs>
          <w:tab w:val="clear" w:pos="1134"/>
          <w:tab w:val="left" w:pos="709" w:leader="none"/>
        </w:tabs>
        <w:bidi w:val="0"/>
        <w:spacing w:before="0" w:after="0"/>
        <w:ind w:hanging="283" w:left="709"/>
        <w:jc w:val="left"/>
        <w:rPr/>
      </w:pPr>
      <w:r>
        <w:rPr/>
        <w:t xml:space="preserve">relevant attackers such as malicious users, compromised delegates, compromised tools, hostile providers, and prompt-injection sources </w:t>
      </w:r>
    </w:p>
    <w:p>
      <w:pPr>
        <w:pStyle w:val="BodyText"/>
        <w:numPr>
          <w:ilvl w:val="0"/>
          <w:numId w:val="70"/>
        </w:numPr>
        <w:tabs>
          <w:tab w:val="clear" w:pos="1134"/>
          <w:tab w:val="left" w:pos="709" w:leader="none"/>
        </w:tabs>
        <w:bidi w:val="0"/>
        <w:ind w:hanging="283" w:left="709"/>
        <w:jc w:val="left"/>
        <w:rPr/>
      </w:pPr>
      <w:r>
        <w:rPr/>
        <w:t xml:space="preserve">trust boundaries across prompts, tools, memory, providers, and cross-agent delegation </w:t>
      </w:r>
    </w:p>
    <w:p>
      <w:pPr>
        <w:pStyle w:val="BodyText"/>
        <w:bidi w:val="0"/>
        <w:jc w:val="left"/>
        <w:rPr/>
      </w:pPr>
      <w:r>
        <w:rPr/>
        <w:t xml:space="preserve">Threat enumeration </w:t>
      </w:r>
      <w:r>
        <w:rPr>
          <w:rStyle w:val="SourceText"/>
        </w:rPr>
        <w:t>SHOULD</w:t>
      </w:r>
      <w:r>
        <w:rPr/>
        <w:t xml:space="preserve"> align where useful to emerging public catalogs such as the </w:t>
      </w:r>
      <w:r>
        <w:rPr>
          <w:rStyle w:val="SourceText"/>
        </w:rPr>
        <w:t>OWASP</w:t>
      </w:r>
      <w:r>
        <w:rPr/>
        <w:t xml:space="preserve"> Top 10 for Agentic Applications, </w:t>
      </w:r>
      <w:r>
        <w:rPr>
          <w:rStyle w:val="SourceText"/>
        </w:rPr>
        <w:t>CSA MAESTRO</w:t>
      </w:r>
      <w:r>
        <w:rPr/>
        <w:t xml:space="preserve">, and </w:t>
      </w:r>
      <w:r>
        <w:rPr>
          <w:rStyle w:val="SourceText"/>
        </w:rPr>
        <w:t>MITRE ATLAS</w:t>
      </w:r>
      <w:r>
        <w:rPr/>
        <w:t>.</w:t>
      </w:r>
    </w:p>
    <w:p>
      <w:pPr>
        <w:pStyle w:val="BodyText"/>
        <w:bidi w:val="0"/>
        <w:jc w:val="left"/>
        <w:rPr/>
      </w:pPr>
      <w:r>
        <w:rPr/>
        <w:t xml:space="preserve">A shared starter artifact for this work </w:t>
      </w:r>
      <w:r>
        <w:rPr>
          <w:rStyle w:val="SourceText"/>
        </w:rPr>
        <w:t>MAY</w:t>
      </w:r>
      <w:r>
        <w:rPr/>
        <w:t xml:space="preserve"> be published as </w:t>
      </w:r>
      <w:r>
        <w:rPr>
          <w:rStyle w:val="SourceText"/>
        </w:rPr>
        <w:t>agent-standards-threat-model.md</w:t>
      </w:r>
      <w:r>
        <w:rPr/>
        <w:t>, provided implementations still adapt it to their real deployment boundaries.</w:t>
      </w:r>
    </w:p>
    <w:p>
      <w:pPr>
        <w:pStyle w:val="Heading2"/>
        <w:bidi w:val="0"/>
        <w:jc w:val="left"/>
        <w:rPr/>
      </w:pPr>
      <w:r>
        <w:rPr/>
        <w:t>16. Evaluation and Red Teaming</w:t>
      </w:r>
    </w:p>
    <w:p>
      <w:pPr>
        <w:pStyle w:val="Heading3"/>
        <w:bidi w:val="0"/>
        <w:jc w:val="left"/>
        <w:rPr/>
      </w:pPr>
      <w:r>
        <w:rPr/>
        <w:t>16.1 Minimum Evaluation Expectations</w:t>
      </w:r>
    </w:p>
    <w:p>
      <w:pPr>
        <w:pStyle w:val="BodyText"/>
        <w:bidi w:val="0"/>
        <w:jc w:val="left"/>
        <w:rPr/>
      </w:pPr>
      <w:r>
        <w:rPr/>
        <w:t xml:space="preserve">A conforming implementation </w:t>
      </w:r>
      <w:r>
        <w:rPr>
          <w:rStyle w:val="SourceText"/>
        </w:rPr>
        <w:t>MUST</w:t>
      </w:r>
      <w:r>
        <w:rPr/>
        <w:t xml:space="preserve"> test the runtime, not only the model. At minimum, it </w:t>
      </w:r>
      <w:r>
        <w:rPr>
          <w:rStyle w:val="SourceText"/>
        </w:rPr>
        <w:t>MUST</w:t>
      </w:r>
      <w:r>
        <w:rPr/>
        <w:t xml:space="preserve"> evaluate:</w:t>
      </w:r>
    </w:p>
    <w:p>
      <w:pPr>
        <w:pStyle w:val="BodyText"/>
        <w:numPr>
          <w:ilvl w:val="0"/>
          <w:numId w:val="71"/>
        </w:numPr>
        <w:tabs>
          <w:tab w:val="clear" w:pos="1134"/>
          <w:tab w:val="left" w:pos="709" w:leader="none"/>
        </w:tabs>
        <w:bidi w:val="0"/>
        <w:spacing w:before="0" w:after="0"/>
        <w:ind w:hanging="283" w:left="709"/>
        <w:jc w:val="left"/>
        <w:rPr/>
      </w:pPr>
      <w:r>
        <w:rPr/>
        <w:t xml:space="preserve">authorization boundary behavior </w:t>
      </w:r>
    </w:p>
    <w:p>
      <w:pPr>
        <w:pStyle w:val="BodyText"/>
        <w:numPr>
          <w:ilvl w:val="0"/>
          <w:numId w:val="71"/>
        </w:numPr>
        <w:tabs>
          <w:tab w:val="clear" w:pos="1134"/>
          <w:tab w:val="left" w:pos="709" w:leader="none"/>
        </w:tabs>
        <w:bidi w:val="0"/>
        <w:spacing w:before="0" w:after="0"/>
        <w:ind w:hanging="283" w:left="709"/>
        <w:jc w:val="left"/>
        <w:rPr/>
      </w:pPr>
      <w:r>
        <w:rPr/>
        <w:t xml:space="preserve">tool selection correctness </w:t>
      </w:r>
    </w:p>
    <w:p>
      <w:pPr>
        <w:pStyle w:val="BodyText"/>
        <w:numPr>
          <w:ilvl w:val="0"/>
          <w:numId w:val="71"/>
        </w:numPr>
        <w:tabs>
          <w:tab w:val="clear" w:pos="1134"/>
          <w:tab w:val="left" w:pos="709" w:leader="none"/>
        </w:tabs>
        <w:bidi w:val="0"/>
        <w:spacing w:before="0" w:after="0"/>
        <w:ind w:hanging="283" w:left="709"/>
        <w:jc w:val="left"/>
        <w:rPr/>
      </w:pPr>
      <w:r>
        <w:rPr/>
        <w:t xml:space="preserve">fabrication resistance </w:t>
      </w:r>
    </w:p>
    <w:p>
      <w:pPr>
        <w:pStyle w:val="BodyText"/>
        <w:numPr>
          <w:ilvl w:val="0"/>
          <w:numId w:val="71"/>
        </w:numPr>
        <w:tabs>
          <w:tab w:val="clear" w:pos="1134"/>
          <w:tab w:val="left" w:pos="709" w:leader="none"/>
        </w:tabs>
        <w:bidi w:val="0"/>
        <w:spacing w:before="0" w:after="0"/>
        <w:ind w:hanging="283" w:left="709"/>
        <w:jc w:val="left"/>
        <w:rPr/>
      </w:pPr>
      <w:r>
        <w:rPr/>
        <w:t xml:space="preserve">incomplete-information handling </w:t>
      </w:r>
    </w:p>
    <w:p>
      <w:pPr>
        <w:pStyle w:val="BodyText"/>
        <w:numPr>
          <w:ilvl w:val="0"/>
          <w:numId w:val="71"/>
        </w:numPr>
        <w:tabs>
          <w:tab w:val="clear" w:pos="1134"/>
          <w:tab w:val="left" w:pos="709" w:leader="none"/>
        </w:tabs>
        <w:bidi w:val="0"/>
        <w:spacing w:before="0" w:after="0"/>
        <w:ind w:hanging="283" w:left="709"/>
        <w:jc w:val="left"/>
        <w:rPr/>
      </w:pPr>
      <w:r>
        <w:rPr/>
        <w:t xml:space="preserve">unsafe narration </w:t>
      </w:r>
    </w:p>
    <w:p>
      <w:pPr>
        <w:pStyle w:val="BodyText"/>
        <w:numPr>
          <w:ilvl w:val="0"/>
          <w:numId w:val="71"/>
        </w:numPr>
        <w:tabs>
          <w:tab w:val="clear" w:pos="1134"/>
          <w:tab w:val="left" w:pos="709" w:leader="none"/>
        </w:tabs>
        <w:bidi w:val="0"/>
        <w:spacing w:before="0" w:after="0"/>
        <w:ind w:hanging="283" w:left="709"/>
        <w:jc w:val="left"/>
        <w:rPr/>
      </w:pPr>
      <w:r>
        <w:rPr/>
        <w:t xml:space="preserve">provider backpressure and rate-budget handling </w:t>
      </w:r>
    </w:p>
    <w:p>
      <w:pPr>
        <w:pStyle w:val="BodyText"/>
        <w:numPr>
          <w:ilvl w:val="0"/>
          <w:numId w:val="71"/>
        </w:numPr>
        <w:tabs>
          <w:tab w:val="clear" w:pos="1134"/>
          <w:tab w:val="left" w:pos="709" w:leader="none"/>
        </w:tabs>
        <w:bidi w:val="0"/>
        <w:spacing w:before="0" w:after="0"/>
        <w:ind w:hanging="283" w:left="709"/>
        <w:jc w:val="left"/>
        <w:rPr/>
      </w:pPr>
      <w:r>
        <w:rPr/>
        <w:t xml:space="preserve">queueing, resumption, and duplicate-prevention behavior </w:t>
      </w:r>
    </w:p>
    <w:p>
      <w:pPr>
        <w:pStyle w:val="BodyText"/>
        <w:numPr>
          <w:ilvl w:val="0"/>
          <w:numId w:val="71"/>
        </w:numPr>
        <w:tabs>
          <w:tab w:val="clear" w:pos="1134"/>
          <w:tab w:val="left" w:pos="709" w:leader="none"/>
        </w:tabs>
        <w:bidi w:val="0"/>
        <w:spacing w:before="0" w:after="0"/>
        <w:ind w:hanging="283" w:left="709"/>
        <w:jc w:val="left"/>
        <w:rPr/>
      </w:pPr>
      <w:r>
        <w:rPr/>
        <w:t xml:space="preserve">approval-gate compliance </w:t>
      </w:r>
    </w:p>
    <w:p>
      <w:pPr>
        <w:pStyle w:val="BodyText"/>
        <w:numPr>
          <w:ilvl w:val="0"/>
          <w:numId w:val="71"/>
        </w:numPr>
        <w:tabs>
          <w:tab w:val="clear" w:pos="1134"/>
          <w:tab w:val="left" w:pos="709" w:leader="none"/>
        </w:tabs>
        <w:bidi w:val="0"/>
        <w:spacing w:before="0" w:after="0"/>
        <w:ind w:hanging="283" w:left="709"/>
        <w:jc w:val="left"/>
        <w:rPr/>
      </w:pPr>
      <w:r>
        <w:rPr/>
        <w:t xml:space="preserve">qualification-scope enforcement </w:t>
      </w:r>
    </w:p>
    <w:p>
      <w:pPr>
        <w:pStyle w:val="BodyText"/>
        <w:numPr>
          <w:ilvl w:val="0"/>
          <w:numId w:val="71"/>
        </w:numPr>
        <w:tabs>
          <w:tab w:val="clear" w:pos="1134"/>
          <w:tab w:val="left" w:pos="709" w:leader="none"/>
        </w:tabs>
        <w:bidi w:val="0"/>
        <w:spacing w:before="0" w:after="0"/>
        <w:ind w:hanging="283" w:left="709"/>
        <w:jc w:val="left"/>
        <w:rPr/>
      </w:pPr>
      <w:r>
        <w:rPr/>
        <w:t xml:space="preserve">autonomy progression and regression behavior </w:t>
      </w:r>
    </w:p>
    <w:p>
      <w:pPr>
        <w:pStyle w:val="BodyText"/>
        <w:numPr>
          <w:ilvl w:val="0"/>
          <w:numId w:val="71"/>
        </w:numPr>
        <w:tabs>
          <w:tab w:val="clear" w:pos="1134"/>
          <w:tab w:val="left" w:pos="709" w:leader="none"/>
        </w:tabs>
        <w:bidi w:val="0"/>
        <w:spacing w:before="0" w:after="0"/>
        <w:ind w:hanging="283" w:left="709"/>
        <w:jc w:val="left"/>
        <w:rPr/>
      </w:pPr>
      <w:r>
        <w:rPr/>
        <w:t xml:space="preserve">proactivity clamping against authority, data, and qualification ceilings </w:t>
      </w:r>
    </w:p>
    <w:p>
      <w:pPr>
        <w:pStyle w:val="BodyText"/>
        <w:numPr>
          <w:ilvl w:val="0"/>
          <w:numId w:val="71"/>
        </w:numPr>
        <w:tabs>
          <w:tab w:val="clear" w:pos="1134"/>
          <w:tab w:val="left" w:pos="709" w:leader="none"/>
        </w:tabs>
        <w:bidi w:val="0"/>
        <w:ind w:hanging="283" w:left="709"/>
        <w:jc w:val="left"/>
        <w:rPr/>
      </w:pPr>
      <w:r>
        <w:rPr/>
        <w:t xml:space="preserve">model-routing eligibility under sensitivity, residency, and job-fit constraints </w:t>
      </w:r>
    </w:p>
    <w:p>
      <w:pPr>
        <w:pStyle w:val="BodyText"/>
        <w:bidi w:val="0"/>
        <w:jc w:val="left"/>
        <w:rPr/>
      </w:pPr>
      <w:r>
        <w:rPr/>
        <w:t xml:space="preserve">Fabrication resistance and related trust claims </w:t>
      </w:r>
      <w:r>
        <w:rPr>
          <w:rStyle w:val="SourceText"/>
        </w:rPr>
        <w:t>MUST</w:t>
      </w:r>
      <w:r>
        <w:rPr/>
        <w:t xml:space="preserve"> be backed by a published evaluation methodology and baseline rates, either by profiling a recognized benchmark suite or by documenting an organization-specific evaluation pack with reproducible pass criteria.</w:t>
      </w:r>
    </w:p>
    <w:p>
      <w:pPr>
        <w:pStyle w:val="BodyText"/>
        <w:bidi w:val="0"/>
        <w:jc w:val="left"/>
        <w:rPr/>
      </w:pPr>
      <w:r>
        <w:rPr/>
        <w:t xml:space="preserve">For job-specific claims, generic benchmark evidence is insufficient by itself. The applicable </w:t>
      </w:r>
      <w:r>
        <w:rPr>
          <w:rStyle w:val="SourceText"/>
        </w:rPr>
        <w:t>TAK-JSI</w:t>
      </w:r>
      <w:r>
        <w:rPr/>
        <w:t xml:space="preserve"> scheme </w:t>
      </w:r>
      <w:r>
        <w:rPr>
          <w:rStyle w:val="SourceText"/>
        </w:rPr>
        <w:t>MUST</w:t>
      </w:r>
      <w:r>
        <w:rPr/>
        <w:t xml:space="preserve"> evaluate the identified operating profile under representative job, tool, data, workflow, and consequence conditions.</w:t>
      </w:r>
    </w:p>
    <w:p>
      <w:pPr>
        <w:pStyle w:val="Heading3"/>
        <w:bidi w:val="0"/>
        <w:jc w:val="left"/>
        <w:rPr/>
      </w:pPr>
      <w:r>
        <w:rPr/>
        <w:t>16.2 Advanced Evaluation</w:t>
      </w:r>
    </w:p>
    <w:p>
      <w:pPr>
        <w:pStyle w:val="BodyText"/>
        <w:bidi w:val="0"/>
        <w:jc w:val="left"/>
        <w:rPr/>
      </w:pPr>
      <w:r>
        <w:rPr/>
        <w:t xml:space="preserve">A </w:t>
      </w:r>
      <w:r>
        <w:rPr>
          <w:rStyle w:val="SourceText"/>
        </w:rPr>
        <w:t>TAK-Assured</w:t>
      </w:r>
      <w:r>
        <w:rPr/>
        <w:t xml:space="preserve"> implementation </w:t>
      </w:r>
      <w:r>
        <w:rPr>
          <w:rStyle w:val="SourceText"/>
        </w:rPr>
        <w:t>SHOULD</w:t>
      </w:r>
      <w:r>
        <w:rPr/>
        <w:t xml:space="preserve"> additionally evaluate:</w:t>
      </w:r>
    </w:p>
    <w:p>
      <w:pPr>
        <w:pStyle w:val="BodyText"/>
        <w:numPr>
          <w:ilvl w:val="0"/>
          <w:numId w:val="72"/>
        </w:numPr>
        <w:tabs>
          <w:tab w:val="clear" w:pos="1134"/>
          <w:tab w:val="left" w:pos="709" w:leader="none"/>
        </w:tabs>
        <w:bidi w:val="0"/>
        <w:spacing w:before="0" w:after="0"/>
        <w:ind w:hanging="283" w:left="709"/>
        <w:jc w:val="left"/>
        <w:rPr/>
      </w:pPr>
      <w:r>
        <w:rPr/>
        <w:t xml:space="preserve">prompt injection resistance </w:t>
      </w:r>
    </w:p>
    <w:p>
      <w:pPr>
        <w:pStyle w:val="BodyText"/>
        <w:numPr>
          <w:ilvl w:val="0"/>
          <w:numId w:val="72"/>
        </w:numPr>
        <w:tabs>
          <w:tab w:val="clear" w:pos="1134"/>
          <w:tab w:val="left" w:pos="709" w:leader="none"/>
        </w:tabs>
        <w:bidi w:val="0"/>
        <w:spacing w:before="0" w:after="0"/>
        <w:ind w:hanging="283" w:left="709"/>
        <w:jc w:val="left"/>
        <w:rPr/>
      </w:pPr>
      <w:r>
        <w:rPr/>
        <w:t xml:space="preserve">cross-agent handoff contamination </w:t>
      </w:r>
    </w:p>
    <w:p>
      <w:pPr>
        <w:pStyle w:val="BodyText"/>
        <w:numPr>
          <w:ilvl w:val="0"/>
          <w:numId w:val="72"/>
        </w:numPr>
        <w:tabs>
          <w:tab w:val="clear" w:pos="1134"/>
          <w:tab w:val="left" w:pos="709" w:leader="none"/>
        </w:tabs>
        <w:bidi w:val="0"/>
        <w:spacing w:before="0" w:after="0"/>
        <w:ind w:hanging="283" w:left="709"/>
        <w:jc w:val="left"/>
        <w:rPr/>
      </w:pPr>
      <w:r>
        <w:rPr/>
        <w:t xml:space="preserve">sensitivity handling </w:t>
      </w:r>
    </w:p>
    <w:p>
      <w:pPr>
        <w:pStyle w:val="BodyText"/>
        <w:numPr>
          <w:ilvl w:val="0"/>
          <w:numId w:val="72"/>
        </w:numPr>
        <w:tabs>
          <w:tab w:val="clear" w:pos="1134"/>
          <w:tab w:val="left" w:pos="709" w:leader="none"/>
        </w:tabs>
        <w:bidi w:val="0"/>
        <w:spacing w:before="0" w:after="0"/>
        <w:ind w:hanging="283" w:left="709"/>
        <w:jc w:val="left"/>
        <w:rPr/>
      </w:pPr>
      <w:r>
        <w:rPr/>
        <w:t xml:space="preserve">audit completeness </w:t>
      </w:r>
    </w:p>
    <w:p>
      <w:pPr>
        <w:pStyle w:val="BodyText"/>
        <w:numPr>
          <w:ilvl w:val="0"/>
          <w:numId w:val="72"/>
        </w:numPr>
        <w:tabs>
          <w:tab w:val="clear" w:pos="1134"/>
          <w:tab w:val="left" w:pos="709" w:leader="none"/>
        </w:tabs>
        <w:bidi w:val="0"/>
        <w:spacing w:before="0" w:after="0"/>
        <w:ind w:hanging="283" w:left="709"/>
        <w:jc w:val="left"/>
        <w:rPr/>
      </w:pPr>
      <w:r>
        <w:rPr/>
        <w:t xml:space="preserve">failure-mode transparency </w:t>
      </w:r>
    </w:p>
    <w:p>
      <w:pPr>
        <w:pStyle w:val="BodyText"/>
        <w:numPr>
          <w:ilvl w:val="0"/>
          <w:numId w:val="72"/>
        </w:numPr>
        <w:tabs>
          <w:tab w:val="clear" w:pos="1134"/>
          <w:tab w:val="left" w:pos="709" w:leader="none"/>
        </w:tabs>
        <w:bidi w:val="0"/>
        <w:spacing w:before="0" w:after="0"/>
        <w:ind w:hanging="283" w:left="709"/>
        <w:jc w:val="left"/>
        <w:rPr/>
      </w:pPr>
      <w:r>
        <w:rPr/>
        <w:t xml:space="preserve">failover-policy correctness across capability tiers </w:t>
      </w:r>
    </w:p>
    <w:p>
      <w:pPr>
        <w:pStyle w:val="BodyText"/>
        <w:numPr>
          <w:ilvl w:val="0"/>
          <w:numId w:val="72"/>
        </w:numPr>
        <w:tabs>
          <w:tab w:val="clear" w:pos="1134"/>
          <w:tab w:val="left" w:pos="709" w:leader="none"/>
        </w:tabs>
        <w:bidi w:val="0"/>
        <w:ind w:hanging="283" w:left="709"/>
        <w:jc w:val="left"/>
        <w:rPr/>
      </w:pPr>
      <w:r>
        <w:rPr/>
        <w:t xml:space="preserve">repeatability across provider and model combinations </w:t>
      </w:r>
    </w:p>
    <w:p>
      <w:pPr>
        <w:pStyle w:val="Heading3"/>
        <w:bidi w:val="0"/>
        <w:jc w:val="left"/>
        <w:rPr/>
      </w:pPr>
      <w:r>
        <w:rPr/>
        <w:t>16.3 External Signals</w:t>
      </w:r>
    </w:p>
    <w:p>
      <w:pPr>
        <w:pStyle w:val="BodyText"/>
        <w:bidi w:val="0"/>
        <w:jc w:val="left"/>
        <w:rPr/>
      </w:pPr>
      <w:r>
        <w:rPr/>
        <w:t xml:space="preserve">The growing public focus on agent security, identity, evaluation, and interoperability is relevant here. </w:t>
      </w:r>
      <w:r>
        <w:rPr>
          <w:rStyle w:val="SourceText"/>
        </w:rPr>
        <w:t>NIST</w:t>
      </w:r>
      <w:r>
        <w:rPr/>
        <w:t>'s current work on agent standards and benchmark evaluation confirms that trustworthy agency is not only a model-quality problem, but a runtime governance problem as well.</w:t>
      </w:r>
    </w:p>
    <w:p>
      <w:pPr>
        <w:pStyle w:val="Heading3"/>
        <w:bidi w:val="0"/>
        <w:jc w:val="left"/>
        <w:rPr/>
      </w:pPr>
      <w:r>
        <w:rPr/>
        <w:t>16.4 Evaluation Cadence and Threat Catalog Coverage</w:t>
      </w:r>
    </w:p>
    <w:p>
      <w:pPr>
        <w:pStyle w:val="BodyText"/>
        <w:bidi w:val="0"/>
        <w:jc w:val="left"/>
        <w:rPr/>
      </w:pPr>
      <w:r>
        <w:rPr/>
        <w:t xml:space="preserve">Evaluation </w:t>
      </w:r>
      <w:r>
        <w:rPr>
          <w:rStyle w:val="SourceText"/>
        </w:rPr>
        <w:t>MUST NOT</w:t>
      </w:r>
      <w:r>
        <w:rPr/>
        <w:t xml:space="preserve"> be treated as a one-time launch ritual.</w:t>
      </w:r>
    </w:p>
    <w:p>
      <w:pPr>
        <w:pStyle w:val="BodyText"/>
        <w:bidi w:val="0"/>
        <w:jc w:val="left"/>
        <w:rPr/>
      </w:pPr>
      <w:r>
        <w:rPr/>
        <w:t xml:space="preserve">At minimum, a conforming implementation </w:t>
      </w:r>
      <w:r>
        <w:rPr>
          <w:rStyle w:val="SourceText"/>
        </w:rPr>
        <w:t>MUST</w:t>
      </w:r>
      <w:r>
        <w:rPr/>
        <w:t xml:space="preserve"> re-run the applicable evaluation set:</w:t>
      </w:r>
    </w:p>
    <w:p>
      <w:pPr>
        <w:pStyle w:val="BodyText"/>
        <w:numPr>
          <w:ilvl w:val="0"/>
          <w:numId w:val="73"/>
        </w:numPr>
        <w:tabs>
          <w:tab w:val="clear" w:pos="1134"/>
          <w:tab w:val="left" w:pos="709" w:leader="none"/>
        </w:tabs>
        <w:bidi w:val="0"/>
        <w:spacing w:before="0" w:after="0"/>
        <w:ind w:hanging="283" w:left="709"/>
        <w:jc w:val="left"/>
        <w:rPr/>
      </w:pPr>
      <w:r>
        <w:rPr/>
        <w:t xml:space="preserve">on material runtime change </w:t>
      </w:r>
    </w:p>
    <w:p>
      <w:pPr>
        <w:pStyle w:val="BodyText"/>
        <w:numPr>
          <w:ilvl w:val="0"/>
          <w:numId w:val="73"/>
        </w:numPr>
        <w:tabs>
          <w:tab w:val="clear" w:pos="1134"/>
          <w:tab w:val="left" w:pos="709" w:leader="none"/>
        </w:tabs>
        <w:bidi w:val="0"/>
        <w:spacing w:before="0" w:after="0"/>
        <w:ind w:hanging="283" w:left="709"/>
        <w:jc w:val="left"/>
        <w:rPr/>
      </w:pPr>
      <w:r>
        <w:rPr/>
        <w:t xml:space="preserve">on model or provider substitution </w:t>
      </w:r>
    </w:p>
    <w:p>
      <w:pPr>
        <w:pStyle w:val="BodyText"/>
        <w:numPr>
          <w:ilvl w:val="0"/>
          <w:numId w:val="73"/>
        </w:numPr>
        <w:tabs>
          <w:tab w:val="clear" w:pos="1134"/>
          <w:tab w:val="left" w:pos="709" w:leader="none"/>
        </w:tabs>
        <w:bidi w:val="0"/>
        <w:spacing w:before="0" w:after="0"/>
        <w:ind w:hanging="283" w:left="709"/>
        <w:jc w:val="left"/>
        <w:rPr/>
      </w:pPr>
      <w:r>
        <w:rPr/>
        <w:t xml:space="preserve">on major instruction-bundle or tool-surface change </w:t>
      </w:r>
    </w:p>
    <w:p>
      <w:pPr>
        <w:pStyle w:val="BodyText"/>
        <w:numPr>
          <w:ilvl w:val="0"/>
          <w:numId w:val="73"/>
        </w:numPr>
        <w:tabs>
          <w:tab w:val="clear" w:pos="1134"/>
          <w:tab w:val="left" w:pos="709" w:leader="none"/>
        </w:tabs>
        <w:bidi w:val="0"/>
        <w:spacing w:before="0" w:after="0"/>
        <w:ind w:hanging="283" w:left="709"/>
        <w:jc w:val="left"/>
        <w:rPr/>
      </w:pPr>
      <w:r>
        <w:rPr/>
        <w:t xml:space="preserve">on release into a new trust boundary or exposure state </w:t>
      </w:r>
    </w:p>
    <w:p>
      <w:pPr>
        <w:pStyle w:val="BodyText"/>
        <w:numPr>
          <w:ilvl w:val="0"/>
          <w:numId w:val="73"/>
        </w:numPr>
        <w:tabs>
          <w:tab w:val="clear" w:pos="1134"/>
          <w:tab w:val="left" w:pos="709" w:leader="none"/>
        </w:tabs>
        <w:bidi w:val="0"/>
        <w:spacing w:before="0" w:after="0"/>
        <w:ind w:hanging="283" w:left="709"/>
        <w:jc w:val="left"/>
        <w:rPr/>
      </w:pPr>
      <w:r>
        <w:rPr/>
        <w:t xml:space="preserve">on a material job-profile, profession-corpus, decision-axis, routing-policy, or data-policy change </w:t>
      </w:r>
    </w:p>
    <w:p>
      <w:pPr>
        <w:pStyle w:val="BodyText"/>
        <w:numPr>
          <w:ilvl w:val="0"/>
          <w:numId w:val="73"/>
        </w:numPr>
        <w:tabs>
          <w:tab w:val="clear" w:pos="1134"/>
          <w:tab w:val="left" w:pos="709" w:leader="none"/>
        </w:tabs>
        <w:bidi w:val="0"/>
        <w:ind w:hanging="283" w:left="709"/>
        <w:jc w:val="left"/>
        <w:rPr/>
      </w:pPr>
      <w:r>
        <w:rPr/>
        <w:t xml:space="preserve">when the applicable qualification expires, becomes restricted, or enters pending revalidation </w:t>
      </w:r>
    </w:p>
    <w:p>
      <w:pPr>
        <w:pStyle w:val="BodyText"/>
        <w:bidi w:val="0"/>
        <w:jc w:val="left"/>
        <w:rPr/>
      </w:pPr>
      <w:r>
        <w:rPr>
          <w:rStyle w:val="SourceText"/>
        </w:rPr>
        <w:t>TAK-Assured</w:t>
      </w:r>
      <w:r>
        <w:rPr/>
        <w:t xml:space="preserve"> implementations </w:t>
      </w:r>
      <w:r>
        <w:rPr>
          <w:rStyle w:val="SourceText"/>
        </w:rPr>
        <w:t>SHOULD</w:t>
      </w:r>
      <w:r>
        <w:rPr/>
        <w:t xml:space="preserve"> additionally map at least the most relevant scenarios to external threat catalogs such as </w:t>
      </w:r>
      <w:r>
        <w:rPr>
          <w:rStyle w:val="SourceText"/>
        </w:rPr>
        <w:t>OWASP</w:t>
      </w:r>
      <w:r>
        <w:rPr/>
        <w:t xml:space="preserve"> Top 10 for Agentic Applications, </w:t>
      </w:r>
      <w:r>
        <w:rPr>
          <w:rStyle w:val="SourceText"/>
        </w:rPr>
        <w:t>CSA MAESTRO</w:t>
      </w:r>
      <w:r>
        <w:rPr/>
        <w:t xml:space="preserve">, and </w:t>
      </w:r>
      <w:r>
        <w:rPr>
          <w:rStyle w:val="SourceText"/>
        </w:rPr>
        <w:t>MITRE ATLAS</w:t>
      </w:r>
      <w:r>
        <w:rPr/>
        <w:t>, so evaluation coverage is legible outside one vendor stack.</w:t>
      </w:r>
    </w:p>
    <w:p>
      <w:pPr>
        <w:pStyle w:val="Heading2"/>
        <w:bidi w:val="0"/>
        <w:jc w:val="left"/>
        <w:rPr/>
      </w:pPr>
      <w:r>
        <w:rPr/>
        <w:t>17. Conformance Profiles</w:t>
      </w:r>
    </w:p>
    <w:p>
      <w:pPr>
        <w:pStyle w:val="Heading3"/>
        <w:bidi w:val="0"/>
        <w:jc w:val="left"/>
        <w:rPr/>
      </w:pPr>
      <w:r>
        <w:rPr/>
        <w:t>17.1 TAK-Basic</w:t>
      </w:r>
    </w:p>
    <w:p>
      <w:pPr>
        <w:pStyle w:val="BodyText"/>
        <w:bidi w:val="0"/>
        <w:jc w:val="left"/>
        <w:rPr/>
      </w:pPr>
      <w:r>
        <w:rPr>
          <w:rStyle w:val="SourceText"/>
        </w:rPr>
        <w:t>TAK-Basic</w:t>
      </w:r>
      <w:r>
        <w:rPr/>
        <w:t xml:space="preserve"> requires:</w:t>
      </w:r>
    </w:p>
    <w:p>
      <w:pPr>
        <w:pStyle w:val="BodyText"/>
        <w:numPr>
          <w:ilvl w:val="0"/>
          <w:numId w:val="74"/>
        </w:numPr>
        <w:tabs>
          <w:tab w:val="clear" w:pos="1134"/>
          <w:tab w:val="left" w:pos="709" w:leader="none"/>
        </w:tabs>
        <w:bidi w:val="0"/>
        <w:spacing w:before="0" w:after="0"/>
        <w:ind w:hanging="283" w:left="709"/>
        <w:jc w:val="left"/>
        <w:rPr/>
      </w:pPr>
      <w:r>
        <w:rPr/>
        <w:t xml:space="preserve">standardized runtime harness control-plane behavior </w:t>
      </w:r>
    </w:p>
    <w:p>
      <w:pPr>
        <w:pStyle w:val="BodyText"/>
        <w:numPr>
          <w:ilvl w:val="0"/>
          <w:numId w:val="74"/>
        </w:numPr>
        <w:tabs>
          <w:tab w:val="clear" w:pos="1134"/>
          <w:tab w:val="left" w:pos="709" w:leader="none"/>
        </w:tabs>
        <w:bidi w:val="0"/>
        <w:spacing w:before="0" w:after="0"/>
        <w:ind w:hanging="283" w:left="709"/>
        <w:jc w:val="left"/>
        <w:rPr/>
      </w:pPr>
      <w:r>
        <w:rPr/>
        <w:t xml:space="preserve">layered authority mediation </w:t>
      </w:r>
    </w:p>
    <w:p>
      <w:pPr>
        <w:pStyle w:val="BodyText"/>
        <w:numPr>
          <w:ilvl w:val="0"/>
          <w:numId w:val="74"/>
        </w:numPr>
        <w:tabs>
          <w:tab w:val="clear" w:pos="1134"/>
          <w:tab w:val="left" w:pos="709" w:leader="none"/>
        </w:tabs>
        <w:bidi w:val="0"/>
        <w:spacing w:before="0" w:after="0"/>
        <w:ind w:hanging="283" w:left="709"/>
        <w:jc w:val="left"/>
        <w:rPr/>
      </w:pPr>
      <w:r>
        <w:rPr/>
        <w:t xml:space="preserve">tool metadata with execution modes </w:t>
      </w:r>
    </w:p>
    <w:p>
      <w:pPr>
        <w:pStyle w:val="BodyText"/>
        <w:numPr>
          <w:ilvl w:val="0"/>
          <w:numId w:val="74"/>
        </w:numPr>
        <w:tabs>
          <w:tab w:val="clear" w:pos="1134"/>
          <w:tab w:val="left" w:pos="709" w:leader="none"/>
        </w:tabs>
        <w:bidi w:val="0"/>
        <w:spacing w:before="0" w:after="0"/>
        <w:ind w:hanging="283" w:left="709"/>
        <w:jc w:val="left"/>
        <w:rPr/>
      </w:pPr>
      <w:r>
        <w:rPr/>
        <w:t xml:space="preserve">basic approval gating for consequential actions </w:t>
      </w:r>
    </w:p>
    <w:p>
      <w:pPr>
        <w:pStyle w:val="BodyText"/>
        <w:numPr>
          <w:ilvl w:val="0"/>
          <w:numId w:val="74"/>
        </w:numPr>
        <w:tabs>
          <w:tab w:val="clear" w:pos="1134"/>
          <w:tab w:val="left" w:pos="709" w:leader="none"/>
        </w:tabs>
        <w:bidi w:val="0"/>
        <w:spacing w:before="0" w:after="0"/>
        <w:ind w:hanging="283" w:left="709"/>
        <w:jc w:val="left"/>
        <w:rPr/>
      </w:pPr>
      <w:r>
        <w:rPr/>
        <w:t xml:space="preserve">a declared consequence class on every side-effecting tool (§8.1) </w:t>
      </w:r>
    </w:p>
    <w:p>
      <w:pPr>
        <w:pStyle w:val="BodyText"/>
        <w:numPr>
          <w:ilvl w:val="0"/>
          <w:numId w:val="74"/>
        </w:numPr>
        <w:tabs>
          <w:tab w:val="clear" w:pos="1134"/>
          <w:tab w:val="left" w:pos="709" w:leader="none"/>
        </w:tabs>
        <w:bidi w:val="0"/>
        <w:spacing w:before="0" w:after="0"/>
        <w:ind w:hanging="283" w:left="709"/>
        <w:jc w:val="left"/>
        <w:rPr/>
      </w:pPr>
      <w:r>
        <w:rPr/>
        <w:t xml:space="preserve">gating derived from tool metadata rather than an enumerated allowlist (§8.4.1) </w:t>
      </w:r>
    </w:p>
    <w:p>
      <w:pPr>
        <w:pStyle w:val="BodyText"/>
        <w:numPr>
          <w:ilvl w:val="0"/>
          <w:numId w:val="74"/>
        </w:numPr>
        <w:tabs>
          <w:tab w:val="clear" w:pos="1134"/>
          <w:tab w:val="left" w:pos="709" w:leader="none"/>
        </w:tabs>
        <w:bidi w:val="0"/>
        <w:spacing w:before="0" w:after="0"/>
        <w:ind w:hanging="283" w:left="709"/>
        <w:jc w:val="left"/>
        <w:rPr/>
      </w:pPr>
      <w:r>
        <w:rPr/>
        <w:t xml:space="preserve">provider-aware rate budgeting and backpressure </w:t>
      </w:r>
    </w:p>
    <w:p>
      <w:pPr>
        <w:pStyle w:val="BodyText"/>
        <w:numPr>
          <w:ilvl w:val="0"/>
          <w:numId w:val="74"/>
        </w:numPr>
        <w:tabs>
          <w:tab w:val="clear" w:pos="1134"/>
          <w:tab w:val="left" w:pos="709" w:leader="none"/>
        </w:tabs>
        <w:bidi w:val="0"/>
        <w:spacing w:before="0" w:after="0"/>
        <w:ind w:hanging="283" w:left="709"/>
        <w:jc w:val="left"/>
        <w:rPr/>
      </w:pPr>
      <w:r>
        <w:rPr/>
        <w:t xml:space="preserve">bounded, resumable inference queueing </w:t>
      </w:r>
    </w:p>
    <w:p>
      <w:pPr>
        <w:pStyle w:val="BodyText"/>
        <w:numPr>
          <w:ilvl w:val="0"/>
          <w:numId w:val="74"/>
        </w:numPr>
        <w:tabs>
          <w:tab w:val="clear" w:pos="1134"/>
          <w:tab w:val="left" w:pos="709" w:leader="none"/>
        </w:tabs>
        <w:bidi w:val="0"/>
        <w:spacing w:before="0" w:after="0"/>
        <w:ind w:hanging="283" w:left="709"/>
        <w:jc w:val="left"/>
        <w:rPr/>
      </w:pPr>
      <w:r>
        <w:rPr/>
        <w:t xml:space="preserve">immutable directive support </w:t>
      </w:r>
    </w:p>
    <w:p>
      <w:pPr>
        <w:pStyle w:val="BodyText"/>
        <w:numPr>
          <w:ilvl w:val="0"/>
          <w:numId w:val="74"/>
        </w:numPr>
        <w:tabs>
          <w:tab w:val="clear" w:pos="1134"/>
          <w:tab w:val="left" w:pos="709" w:leader="none"/>
        </w:tabs>
        <w:bidi w:val="0"/>
        <w:spacing w:before="0" w:after="0"/>
        <w:ind w:hanging="283" w:left="709"/>
        <w:jc w:val="left"/>
        <w:rPr/>
      </w:pPr>
      <w:r>
        <w:rPr/>
        <w:t xml:space="preserve">minimum audit logging </w:t>
      </w:r>
    </w:p>
    <w:p>
      <w:pPr>
        <w:pStyle w:val="BodyText"/>
        <w:numPr>
          <w:ilvl w:val="0"/>
          <w:numId w:val="74"/>
        </w:numPr>
        <w:tabs>
          <w:tab w:val="clear" w:pos="1134"/>
          <w:tab w:val="left" w:pos="709" w:leader="none"/>
        </w:tabs>
        <w:bidi w:val="0"/>
        <w:ind w:hanging="283" w:left="709"/>
        <w:jc w:val="left"/>
        <w:rPr/>
      </w:pPr>
      <w:r>
        <w:rPr/>
        <w:t xml:space="preserve">fabrication mitigation </w:t>
      </w:r>
    </w:p>
    <w:p>
      <w:pPr>
        <w:pStyle w:val="Heading3"/>
        <w:bidi w:val="0"/>
        <w:jc w:val="left"/>
        <w:rPr/>
      </w:pPr>
      <w:r>
        <w:rPr/>
        <w:t>17.2 TAK-Managed</w:t>
      </w:r>
    </w:p>
    <w:p>
      <w:pPr>
        <w:pStyle w:val="BodyText"/>
        <w:bidi w:val="0"/>
        <w:jc w:val="left"/>
        <w:rPr/>
      </w:pPr>
      <w:r>
        <w:rPr>
          <w:rStyle w:val="SourceText"/>
        </w:rPr>
        <w:t>TAK-Managed</w:t>
      </w:r>
      <w:r>
        <w:rPr/>
        <w:t xml:space="preserve"> requires everything in </w:t>
      </w:r>
      <w:r>
        <w:rPr>
          <w:rStyle w:val="SourceText"/>
        </w:rPr>
        <w:t>TAK-Basic</w:t>
      </w:r>
      <w:r>
        <w:rPr/>
        <w:t>, plus:</w:t>
      </w:r>
    </w:p>
    <w:p>
      <w:pPr>
        <w:pStyle w:val="BodyText"/>
        <w:numPr>
          <w:ilvl w:val="0"/>
          <w:numId w:val="75"/>
        </w:numPr>
        <w:tabs>
          <w:tab w:val="clear" w:pos="1134"/>
          <w:tab w:val="left" w:pos="709" w:leader="none"/>
        </w:tabs>
        <w:bidi w:val="0"/>
        <w:spacing w:before="0" w:after="0"/>
        <w:ind w:hanging="283" w:left="709"/>
        <w:jc w:val="left"/>
        <w:rPr/>
      </w:pPr>
      <w:r>
        <w:rPr/>
        <w:t xml:space="preserve">reviewable oversight tiers </w:t>
      </w:r>
    </w:p>
    <w:p>
      <w:pPr>
        <w:pStyle w:val="BodyText"/>
        <w:numPr>
          <w:ilvl w:val="0"/>
          <w:numId w:val="75"/>
        </w:numPr>
        <w:tabs>
          <w:tab w:val="clear" w:pos="1134"/>
          <w:tab w:val="left" w:pos="709" w:leader="none"/>
        </w:tabs>
        <w:bidi w:val="0"/>
        <w:spacing w:before="0" w:after="0"/>
        <w:ind w:hanging="283" w:left="709"/>
        <w:jc w:val="left"/>
        <w:rPr/>
      </w:pPr>
      <w:r>
        <w:rPr/>
        <w:t xml:space="preserve">runtime transparency views </w:t>
      </w:r>
    </w:p>
    <w:p>
      <w:pPr>
        <w:pStyle w:val="BodyText"/>
        <w:numPr>
          <w:ilvl w:val="0"/>
          <w:numId w:val="75"/>
        </w:numPr>
        <w:tabs>
          <w:tab w:val="clear" w:pos="1134"/>
          <w:tab w:val="left" w:pos="709" w:leader="none"/>
        </w:tabs>
        <w:bidi w:val="0"/>
        <w:spacing w:before="0" w:after="0"/>
        <w:ind w:hanging="283" w:left="709"/>
        <w:jc w:val="left"/>
        <w:rPr/>
      </w:pPr>
      <w:r>
        <w:rPr/>
        <w:t xml:space="preserve">governed memory retention and truncation </w:t>
      </w:r>
    </w:p>
    <w:p>
      <w:pPr>
        <w:pStyle w:val="BodyText"/>
        <w:numPr>
          <w:ilvl w:val="0"/>
          <w:numId w:val="75"/>
        </w:numPr>
        <w:tabs>
          <w:tab w:val="clear" w:pos="1134"/>
          <w:tab w:val="left" w:pos="709" w:leader="none"/>
        </w:tabs>
        <w:bidi w:val="0"/>
        <w:spacing w:before="0" w:after="0"/>
        <w:ind w:hanging="283" w:left="709"/>
        <w:jc w:val="left"/>
        <w:rPr/>
      </w:pPr>
      <w:r>
        <w:rPr/>
        <w:t xml:space="preserve">documented hidden-instruction governance </w:t>
      </w:r>
    </w:p>
    <w:p>
      <w:pPr>
        <w:pStyle w:val="BodyText"/>
        <w:numPr>
          <w:ilvl w:val="0"/>
          <w:numId w:val="75"/>
        </w:numPr>
        <w:tabs>
          <w:tab w:val="clear" w:pos="1134"/>
          <w:tab w:val="left" w:pos="709" w:leader="none"/>
        </w:tabs>
        <w:bidi w:val="0"/>
        <w:spacing w:before="0" w:after="0"/>
        <w:ind w:hanging="283" w:left="709"/>
        <w:jc w:val="left"/>
        <w:rPr/>
      </w:pPr>
      <w:r>
        <w:rPr/>
        <w:t xml:space="preserve">delegation narrowing </w:t>
      </w:r>
    </w:p>
    <w:p>
      <w:pPr>
        <w:pStyle w:val="BodyText"/>
        <w:numPr>
          <w:ilvl w:val="0"/>
          <w:numId w:val="75"/>
        </w:numPr>
        <w:tabs>
          <w:tab w:val="clear" w:pos="1134"/>
          <w:tab w:val="left" w:pos="709" w:leader="none"/>
        </w:tabs>
        <w:bidi w:val="0"/>
        <w:spacing w:before="0" w:after="0"/>
        <w:ind w:hanging="283" w:left="709"/>
        <w:jc w:val="left"/>
        <w:rPr/>
      </w:pPr>
      <w:r>
        <w:rPr/>
        <w:t xml:space="preserve">human-visible provider and governance incident escalation </w:t>
      </w:r>
    </w:p>
    <w:p>
      <w:pPr>
        <w:pStyle w:val="BodyText"/>
        <w:numPr>
          <w:ilvl w:val="0"/>
          <w:numId w:val="75"/>
        </w:numPr>
        <w:tabs>
          <w:tab w:val="clear" w:pos="1134"/>
          <w:tab w:val="left" w:pos="709" w:leader="none"/>
        </w:tabs>
        <w:bidi w:val="0"/>
        <w:spacing w:before="0" w:after="0"/>
        <w:ind w:hanging="283" w:left="709"/>
        <w:jc w:val="left"/>
        <w:rPr/>
      </w:pPr>
      <w:r>
        <w:rPr/>
        <w:t xml:space="preserve">sensitivity-class-aware handling </w:t>
      </w:r>
    </w:p>
    <w:p>
      <w:pPr>
        <w:pStyle w:val="BodyText"/>
        <w:numPr>
          <w:ilvl w:val="0"/>
          <w:numId w:val="75"/>
        </w:numPr>
        <w:tabs>
          <w:tab w:val="clear" w:pos="1134"/>
          <w:tab w:val="left" w:pos="709" w:leader="none"/>
        </w:tabs>
        <w:bidi w:val="0"/>
        <w:spacing w:before="0" w:after="0"/>
        <w:ind w:hanging="283" w:left="709"/>
        <w:jc w:val="left"/>
        <w:rPr/>
      </w:pPr>
      <w:r>
        <w:rPr/>
        <w:t xml:space="preserve">qualification-aware action ceilings </w:t>
      </w:r>
    </w:p>
    <w:p>
      <w:pPr>
        <w:pStyle w:val="BodyText"/>
        <w:numPr>
          <w:ilvl w:val="0"/>
          <w:numId w:val="75"/>
        </w:numPr>
        <w:tabs>
          <w:tab w:val="clear" w:pos="1134"/>
          <w:tab w:val="left" w:pos="709" w:leader="none"/>
        </w:tabs>
        <w:bidi w:val="0"/>
        <w:spacing w:before="0" w:after="0"/>
        <w:ind w:hanging="283" w:left="709"/>
        <w:jc w:val="left"/>
        <w:rPr/>
      </w:pPr>
      <w:r>
        <w:rPr/>
        <w:t xml:space="preserve">explicit proactivity clamping and autonomy regression </w:t>
      </w:r>
    </w:p>
    <w:p>
      <w:pPr>
        <w:pStyle w:val="BodyText"/>
        <w:numPr>
          <w:ilvl w:val="0"/>
          <w:numId w:val="75"/>
        </w:numPr>
        <w:tabs>
          <w:tab w:val="clear" w:pos="1134"/>
          <w:tab w:val="left" w:pos="709" w:leader="none"/>
        </w:tabs>
        <w:bidi w:val="0"/>
        <w:spacing w:before="0" w:after="0"/>
        <w:ind w:hanging="283" w:left="709"/>
        <w:jc w:val="left"/>
        <w:rPr/>
      </w:pPr>
      <w:r>
        <w:rPr/>
        <w:t xml:space="preserve">gate-coverage reporting over the tool surface and per agent (§8.4.2) </w:t>
      </w:r>
    </w:p>
    <w:p>
      <w:pPr>
        <w:pStyle w:val="BodyText"/>
        <w:numPr>
          <w:ilvl w:val="0"/>
          <w:numId w:val="75"/>
        </w:numPr>
        <w:tabs>
          <w:tab w:val="clear" w:pos="1134"/>
          <w:tab w:val="left" w:pos="709" w:leader="none"/>
        </w:tabs>
        <w:bidi w:val="0"/>
        <w:spacing w:before="0" w:after="0"/>
        <w:ind w:hanging="283" w:left="709"/>
        <w:jc w:val="left"/>
        <w:rPr/>
      </w:pPr>
      <w:r>
        <w:rPr/>
        <w:t xml:space="preserve">autonomy bounded by gate coverage, with machine-evaluable admission criteria (§7.12.1-7.12.2) </w:t>
      </w:r>
    </w:p>
    <w:p>
      <w:pPr>
        <w:pStyle w:val="BodyText"/>
        <w:numPr>
          <w:ilvl w:val="0"/>
          <w:numId w:val="75"/>
        </w:numPr>
        <w:tabs>
          <w:tab w:val="clear" w:pos="1134"/>
          <w:tab w:val="left" w:pos="709" w:leader="none"/>
        </w:tabs>
        <w:bidi w:val="0"/>
        <w:ind w:hanging="283" w:left="709"/>
        <w:jc w:val="left"/>
        <w:rPr/>
      </w:pPr>
      <w:r>
        <w:rPr/>
        <w:t xml:space="preserve">bounded activity shapes with declared triggers, stop conditions, and review points (§8.11) </w:t>
      </w:r>
    </w:p>
    <w:p>
      <w:pPr>
        <w:pStyle w:val="Heading3"/>
        <w:bidi w:val="0"/>
        <w:jc w:val="left"/>
        <w:rPr/>
      </w:pPr>
      <w:r>
        <w:rPr/>
        <w:t>17.3 TAK-Assured</w:t>
      </w:r>
    </w:p>
    <w:p>
      <w:pPr>
        <w:pStyle w:val="BodyText"/>
        <w:bidi w:val="0"/>
        <w:jc w:val="left"/>
        <w:rPr/>
      </w:pPr>
      <w:r>
        <w:rPr>
          <w:rStyle w:val="SourceText"/>
        </w:rPr>
        <w:t>TAK-Assured</w:t>
      </w:r>
      <w:r>
        <w:rPr/>
        <w:t xml:space="preserve"> requires everything in </w:t>
      </w:r>
      <w:r>
        <w:rPr>
          <w:rStyle w:val="SourceText"/>
        </w:rPr>
        <w:t>TAK-Managed</w:t>
      </w:r>
      <w:r>
        <w:rPr/>
        <w:t>, plus:</w:t>
      </w:r>
    </w:p>
    <w:p>
      <w:pPr>
        <w:pStyle w:val="BodyText"/>
        <w:numPr>
          <w:ilvl w:val="0"/>
          <w:numId w:val="76"/>
        </w:numPr>
        <w:tabs>
          <w:tab w:val="clear" w:pos="1134"/>
          <w:tab w:val="left" w:pos="709" w:leader="none"/>
        </w:tabs>
        <w:bidi w:val="0"/>
        <w:spacing w:before="0" w:after="0"/>
        <w:ind w:hanging="283" w:left="709"/>
        <w:jc w:val="left"/>
        <w:rPr/>
      </w:pPr>
      <w:r>
        <w:rPr/>
        <w:t xml:space="preserve">stronger non-repudiation support </w:t>
      </w:r>
    </w:p>
    <w:p>
      <w:pPr>
        <w:pStyle w:val="BodyText"/>
        <w:numPr>
          <w:ilvl w:val="0"/>
          <w:numId w:val="76"/>
        </w:numPr>
        <w:tabs>
          <w:tab w:val="clear" w:pos="1134"/>
          <w:tab w:val="left" w:pos="709" w:leader="none"/>
        </w:tabs>
        <w:bidi w:val="0"/>
        <w:spacing w:before="0" w:after="0"/>
        <w:ind w:hanging="283" w:left="709"/>
        <w:jc w:val="left"/>
        <w:rPr/>
      </w:pPr>
      <w:r>
        <w:rPr/>
        <w:t xml:space="preserve">higher-assurance audit evidence </w:t>
      </w:r>
    </w:p>
    <w:p>
      <w:pPr>
        <w:pStyle w:val="BodyText"/>
        <w:numPr>
          <w:ilvl w:val="0"/>
          <w:numId w:val="76"/>
        </w:numPr>
        <w:tabs>
          <w:tab w:val="clear" w:pos="1134"/>
          <w:tab w:val="left" w:pos="709" w:leader="none"/>
        </w:tabs>
        <w:bidi w:val="0"/>
        <w:spacing w:before="0" w:after="0"/>
        <w:ind w:hanging="283" w:left="709"/>
        <w:jc w:val="left"/>
        <w:rPr/>
      </w:pPr>
      <w:r>
        <w:rPr/>
        <w:t xml:space="preserve">advanced evaluation and red-team coverage </w:t>
      </w:r>
    </w:p>
    <w:p>
      <w:pPr>
        <w:pStyle w:val="BodyText"/>
        <w:numPr>
          <w:ilvl w:val="0"/>
          <w:numId w:val="76"/>
        </w:numPr>
        <w:tabs>
          <w:tab w:val="clear" w:pos="1134"/>
          <w:tab w:val="left" w:pos="709" w:leader="none"/>
        </w:tabs>
        <w:bidi w:val="0"/>
        <w:spacing w:before="0" w:after="0"/>
        <w:ind w:hanging="283" w:left="709"/>
        <w:jc w:val="left"/>
        <w:rPr/>
      </w:pPr>
      <w:r>
        <w:rPr/>
        <w:t xml:space="preserve">governed failover and substitution traceability across approved provider sets </w:t>
      </w:r>
    </w:p>
    <w:p>
      <w:pPr>
        <w:pStyle w:val="BodyText"/>
        <w:numPr>
          <w:ilvl w:val="0"/>
          <w:numId w:val="76"/>
        </w:numPr>
        <w:tabs>
          <w:tab w:val="clear" w:pos="1134"/>
          <w:tab w:val="left" w:pos="709" w:leader="none"/>
        </w:tabs>
        <w:bidi w:val="0"/>
        <w:spacing w:before="0" w:after="0"/>
        <w:ind w:hanging="283" w:left="709"/>
        <w:jc w:val="left"/>
        <w:rPr/>
      </w:pPr>
      <w:r>
        <w:rPr/>
        <w:t xml:space="preserve">stronger traceability across delegation and cross-system flows </w:t>
      </w:r>
    </w:p>
    <w:p>
      <w:pPr>
        <w:pStyle w:val="BodyText"/>
        <w:numPr>
          <w:ilvl w:val="0"/>
          <w:numId w:val="76"/>
        </w:numPr>
        <w:tabs>
          <w:tab w:val="clear" w:pos="1134"/>
          <w:tab w:val="left" w:pos="709" w:leader="none"/>
        </w:tabs>
        <w:bidi w:val="0"/>
        <w:spacing w:before="0" w:after="0"/>
        <w:ind w:hanging="283" w:left="709"/>
        <w:jc w:val="left"/>
        <w:rPr/>
      </w:pPr>
      <w:r>
        <w:rPr/>
        <w:t xml:space="preserve">documented control ownership and change management </w:t>
      </w:r>
    </w:p>
    <w:p>
      <w:pPr>
        <w:pStyle w:val="BodyText"/>
        <w:numPr>
          <w:ilvl w:val="0"/>
          <w:numId w:val="76"/>
        </w:numPr>
        <w:tabs>
          <w:tab w:val="clear" w:pos="1134"/>
          <w:tab w:val="left" w:pos="709" w:leader="none"/>
        </w:tabs>
        <w:bidi w:val="0"/>
        <w:spacing w:before="0" w:after="0"/>
        <w:ind w:hanging="283" w:left="709"/>
        <w:jc w:val="left"/>
        <w:rPr/>
      </w:pPr>
      <w:r>
        <w:rPr/>
        <w:t xml:space="preserve">evidence-backed, scoped autonomy progression with qualification and operational-surveillance links </w:t>
      </w:r>
    </w:p>
    <w:p>
      <w:pPr>
        <w:pStyle w:val="BodyText"/>
        <w:numPr>
          <w:ilvl w:val="0"/>
          <w:numId w:val="76"/>
        </w:numPr>
        <w:tabs>
          <w:tab w:val="clear" w:pos="1134"/>
          <w:tab w:val="left" w:pos="709" w:leader="none"/>
        </w:tabs>
        <w:bidi w:val="0"/>
        <w:spacing w:before="0" w:after="0"/>
        <w:ind w:hanging="283" w:left="709"/>
        <w:jc w:val="left"/>
        <w:rPr/>
      </w:pPr>
      <w:r>
        <w:rPr/>
        <w:t xml:space="preserve">decision records bound to the actions they authorized, with observed outcomes (§13.3) </w:t>
      </w:r>
    </w:p>
    <w:p>
      <w:pPr>
        <w:pStyle w:val="BodyText"/>
        <w:numPr>
          <w:ilvl w:val="0"/>
          <w:numId w:val="76"/>
        </w:numPr>
        <w:tabs>
          <w:tab w:val="clear" w:pos="1134"/>
          <w:tab w:val="left" w:pos="709" w:leader="none"/>
        </w:tabs>
        <w:bidi w:val="0"/>
        <w:spacing w:before="0" w:after="0"/>
        <w:ind w:hanging="283" w:left="709"/>
        <w:jc w:val="left"/>
        <w:rPr/>
      </w:pPr>
      <w:r>
        <w:rPr/>
        <w:t xml:space="preserve">outcome feedback into the decision procedure where autonomy operates without a human (§13.3) </w:t>
      </w:r>
    </w:p>
    <w:p>
      <w:pPr>
        <w:pStyle w:val="BodyText"/>
        <w:numPr>
          <w:ilvl w:val="0"/>
          <w:numId w:val="76"/>
        </w:numPr>
        <w:tabs>
          <w:tab w:val="clear" w:pos="1134"/>
          <w:tab w:val="left" w:pos="709" w:leader="none"/>
        </w:tabs>
        <w:bidi w:val="0"/>
        <w:ind w:hanging="283" w:left="709"/>
        <w:jc w:val="left"/>
        <w:rPr/>
      </w:pPr>
      <w:r>
        <w:rPr/>
        <w:t xml:space="preserve">decision-procedure drift detection against a frozen canonical panel (§13.3) </w:t>
      </w:r>
    </w:p>
    <w:p>
      <w:pPr>
        <w:pStyle w:val="BodyText"/>
        <w:bidi w:val="0"/>
        <w:jc w:val="left"/>
        <w:rPr/>
      </w:pPr>
      <w:r>
        <w:rPr/>
        <w:t xml:space="preserve">Implementations claiming any </w:t>
      </w:r>
      <w:r>
        <w:rPr>
          <w:rStyle w:val="SourceText"/>
        </w:rPr>
        <w:t>TAK</w:t>
      </w:r>
      <w:r>
        <w:rPr/>
        <w:t xml:space="preserve"> profile </w:t>
      </w:r>
      <w:r>
        <w:rPr>
          <w:rStyle w:val="SourceText"/>
        </w:rPr>
        <w:t>SHOULD</w:t>
      </w:r>
      <w:r>
        <w:rPr/>
        <w:t xml:space="preserve"> publish an assertion mapping, evidence pack, or equivalent rubric such as the companion </w:t>
      </w:r>
      <w:r>
        <w:rPr>
          <w:rStyle w:val="SourceText"/>
        </w:rPr>
        <w:t>tak-conformance-tests.md</w:t>
      </w:r>
      <w:r>
        <w:rPr/>
        <w:t xml:space="preserve"> document.</w:t>
      </w:r>
    </w:p>
    <w:p>
      <w:pPr>
        <w:pStyle w:val="Heading2"/>
        <w:bidi w:val="0"/>
        <w:jc w:val="left"/>
        <w:rPr/>
      </w:pPr>
      <w:r>
        <w:rPr/>
        <w:t>18. Security Considerations</w:t>
      </w:r>
    </w:p>
    <w:p>
      <w:pPr>
        <w:pStyle w:val="BodyText"/>
        <w:bidi w:val="0"/>
        <w:jc w:val="left"/>
        <w:rPr/>
      </w:pPr>
      <w:r>
        <w:rPr/>
        <w:t>This standard assumes:</w:t>
      </w:r>
    </w:p>
    <w:p>
      <w:pPr>
        <w:pStyle w:val="BodyText"/>
        <w:numPr>
          <w:ilvl w:val="0"/>
          <w:numId w:val="77"/>
        </w:numPr>
        <w:tabs>
          <w:tab w:val="clear" w:pos="1134"/>
          <w:tab w:val="left" w:pos="709" w:leader="none"/>
        </w:tabs>
        <w:bidi w:val="0"/>
        <w:spacing w:before="0" w:after="0"/>
        <w:ind w:hanging="283" w:left="709"/>
        <w:jc w:val="left"/>
        <w:rPr/>
      </w:pPr>
      <w:r>
        <w:rPr/>
        <w:t xml:space="preserve">models are fallible </w:t>
      </w:r>
    </w:p>
    <w:p>
      <w:pPr>
        <w:pStyle w:val="BodyText"/>
        <w:numPr>
          <w:ilvl w:val="0"/>
          <w:numId w:val="77"/>
        </w:numPr>
        <w:tabs>
          <w:tab w:val="clear" w:pos="1134"/>
          <w:tab w:val="left" w:pos="709" w:leader="none"/>
        </w:tabs>
        <w:bidi w:val="0"/>
        <w:spacing w:before="0" w:after="0"/>
        <w:ind w:hanging="283" w:left="709"/>
        <w:jc w:val="left"/>
        <w:rPr/>
      </w:pPr>
      <w:r>
        <w:rPr/>
        <w:t xml:space="preserve">tools increase both usefulness and risk </w:t>
      </w:r>
    </w:p>
    <w:p>
      <w:pPr>
        <w:pStyle w:val="BodyText"/>
        <w:numPr>
          <w:ilvl w:val="0"/>
          <w:numId w:val="77"/>
        </w:numPr>
        <w:tabs>
          <w:tab w:val="clear" w:pos="1134"/>
          <w:tab w:val="left" w:pos="709" w:leader="none"/>
        </w:tabs>
        <w:bidi w:val="0"/>
        <w:spacing w:before="0" w:after="0"/>
        <w:ind w:hanging="283" w:left="709"/>
        <w:jc w:val="left"/>
        <w:rPr/>
      </w:pPr>
      <w:r>
        <w:rPr/>
        <w:t xml:space="preserve">memory can become an attack and error surface </w:t>
      </w:r>
    </w:p>
    <w:p>
      <w:pPr>
        <w:pStyle w:val="BodyText"/>
        <w:numPr>
          <w:ilvl w:val="0"/>
          <w:numId w:val="77"/>
        </w:numPr>
        <w:tabs>
          <w:tab w:val="clear" w:pos="1134"/>
          <w:tab w:val="left" w:pos="709" w:leader="none"/>
        </w:tabs>
        <w:bidi w:val="0"/>
        <w:spacing w:before="0" w:after="0"/>
        <w:ind w:hanging="283" w:left="709"/>
        <w:jc w:val="left"/>
        <w:rPr/>
      </w:pPr>
      <w:r>
        <w:rPr/>
        <w:t xml:space="preserve">hidden instructions create real governance obligations </w:t>
      </w:r>
    </w:p>
    <w:p>
      <w:pPr>
        <w:pStyle w:val="BodyText"/>
        <w:numPr>
          <w:ilvl w:val="0"/>
          <w:numId w:val="77"/>
        </w:numPr>
        <w:tabs>
          <w:tab w:val="clear" w:pos="1134"/>
          <w:tab w:val="left" w:pos="709" w:leader="none"/>
        </w:tabs>
        <w:bidi w:val="0"/>
        <w:ind w:hanging="283" w:left="709"/>
        <w:jc w:val="left"/>
        <w:rPr/>
      </w:pPr>
      <w:r>
        <w:rPr/>
        <w:t xml:space="preserve">interoperability without runtime governance is insufficient </w:t>
      </w:r>
    </w:p>
    <w:p>
      <w:pPr>
        <w:pStyle w:val="BodyText"/>
        <w:bidi w:val="0"/>
        <w:jc w:val="left"/>
        <w:rPr/>
      </w:pPr>
      <w:r>
        <w:rPr/>
        <w:t>The consequence is that a trustworthy agent runtime cannot be reduced to prompt design alone.</w:t>
      </w:r>
    </w:p>
    <w:p>
      <w:pPr>
        <w:pStyle w:val="Heading2"/>
        <w:bidi w:val="0"/>
        <w:jc w:val="left"/>
        <w:rPr/>
      </w:pPr>
      <w:r>
        <w:rPr/>
        <w:t>19. Informative Annex A: Relationship to GAID and TAK-JSI</w:t>
      </w:r>
    </w:p>
    <w:p>
      <w:pPr>
        <w:pStyle w:val="BodyText"/>
        <w:bidi w:val="0"/>
        <w:jc w:val="left"/>
        <w:rPr/>
      </w:pPr>
      <w:r>
        <w:rPr>
          <w:rStyle w:val="SourceText"/>
        </w:rPr>
        <w:t>TAK</w:t>
      </w:r>
      <w:r>
        <w:rPr/>
        <w:t xml:space="preserve">, </w:t>
      </w:r>
      <w:r>
        <w:rPr>
          <w:rStyle w:val="SourceText"/>
        </w:rPr>
        <w:t>GAID</w:t>
      </w:r>
      <w:r>
        <w:rPr/>
        <w:t xml:space="preserve">, and </w:t>
      </w:r>
      <w:r>
        <w:rPr>
          <w:rStyle w:val="SourceText"/>
        </w:rPr>
        <w:t>TAK-JSI</w:t>
      </w:r>
      <w:r>
        <w:rPr/>
        <w:t xml:space="preserve"> are designed to work together.</w:t>
      </w:r>
    </w:p>
    <w:p>
      <w:pPr>
        <w:pStyle w:val="BodyText"/>
        <w:numPr>
          <w:ilvl w:val="0"/>
          <w:numId w:val="78"/>
        </w:numPr>
        <w:tabs>
          <w:tab w:val="clear" w:pos="1134"/>
          <w:tab w:val="left" w:pos="709" w:leader="none"/>
        </w:tabs>
        <w:bidi w:val="0"/>
        <w:spacing w:before="0" w:after="0"/>
        <w:ind w:hanging="283" w:left="709"/>
        <w:jc w:val="left"/>
        <w:rPr/>
      </w:pPr>
      <w:r>
        <w:rPr>
          <w:rStyle w:val="SourceText"/>
        </w:rPr>
        <w:t>GAID</w:t>
      </w:r>
      <w:r>
        <w:rPr/>
        <w:t xml:space="preserve"> identifies and attests the agent, its claims, and its public or cross-boundary posture. </w:t>
      </w:r>
    </w:p>
    <w:p>
      <w:pPr>
        <w:pStyle w:val="BodyText"/>
        <w:numPr>
          <w:ilvl w:val="0"/>
          <w:numId w:val="78"/>
        </w:numPr>
        <w:tabs>
          <w:tab w:val="clear" w:pos="1134"/>
          <w:tab w:val="left" w:pos="709" w:leader="none"/>
        </w:tabs>
        <w:bidi w:val="0"/>
        <w:spacing w:before="0" w:after="0"/>
        <w:ind w:hanging="283" w:left="709"/>
        <w:jc w:val="left"/>
        <w:rPr/>
      </w:pPr>
      <w:r>
        <w:rPr>
          <w:rStyle w:val="SourceText"/>
        </w:rPr>
        <w:t>TAK-JSI</w:t>
      </w:r>
      <w:r>
        <w:rPr/>
        <w:t xml:space="preserve"> defines whether a versioned operating profile is qualified for a declared job, activity, data, and risk scope. </w:t>
      </w:r>
    </w:p>
    <w:p>
      <w:pPr>
        <w:pStyle w:val="BodyText"/>
        <w:numPr>
          <w:ilvl w:val="0"/>
          <w:numId w:val="78"/>
        </w:numPr>
        <w:tabs>
          <w:tab w:val="clear" w:pos="1134"/>
          <w:tab w:val="left" w:pos="709" w:leader="none"/>
        </w:tabs>
        <w:bidi w:val="0"/>
        <w:ind w:hanging="283" w:left="709"/>
        <w:jc w:val="left"/>
        <w:rPr/>
      </w:pPr>
      <w:r>
        <w:rPr>
          <w:rStyle w:val="SourceText"/>
        </w:rPr>
        <w:t>TAK</w:t>
      </w:r>
      <w:r>
        <w:rPr/>
        <w:t xml:space="preserve"> governs the runtime in which that agent actually operates. </w:t>
      </w:r>
    </w:p>
    <w:p>
      <w:pPr>
        <w:pStyle w:val="BodyText"/>
        <w:bidi w:val="0"/>
        <w:jc w:val="left"/>
        <w:rPr/>
      </w:pPr>
      <w:r>
        <w:rPr/>
        <w:t>In practical terms:</w:t>
      </w:r>
    </w:p>
    <w:p>
      <w:pPr>
        <w:pStyle w:val="BodyText"/>
        <w:numPr>
          <w:ilvl w:val="0"/>
          <w:numId w:val="79"/>
        </w:numPr>
        <w:tabs>
          <w:tab w:val="clear" w:pos="1134"/>
          <w:tab w:val="left" w:pos="709" w:leader="none"/>
        </w:tabs>
        <w:bidi w:val="0"/>
        <w:spacing w:before="0" w:after="0"/>
        <w:ind w:hanging="283" w:left="709"/>
        <w:jc w:val="left"/>
        <w:rPr/>
      </w:pPr>
      <w:r>
        <w:rPr>
          <w:rStyle w:val="SourceText"/>
        </w:rPr>
        <w:t>GAID</w:t>
      </w:r>
      <w:r>
        <w:rPr/>
        <w:t xml:space="preserve"> answers "who is this agent and what claims does it carry?" </w:t>
      </w:r>
    </w:p>
    <w:p>
      <w:pPr>
        <w:pStyle w:val="BodyText"/>
        <w:numPr>
          <w:ilvl w:val="0"/>
          <w:numId w:val="79"/>
        </w:numPr>
        <w:tabs>
          <w:tab w:val="clear" w:pos="1134"/>
          <w:tab w:val="left" w:pos="709" w:leader="none"/>
        </w:tabs>
        <w:bidi w:val="0"/>
        <w:spacing w:before="0" w:after="0"/>
        <w:ind w:hanging="283" w:left="709"/>
        <w:jc w:val="left"/>
        <w:rPr/>
      </w:pPr>
      <w:r>
        <w:rPr>
          <w:rStyle w:val="SourceText"/>
        </w:rPr>
        <w:t>TAK-JSI</w:t>
      </w:r>
      <w:r>
        <w:rPr/>
        <w:t xml:space="preserve"> answers "what job is this operating profile qualified to perform, under which constraints, and what evidence keeps that claim current?" </w:t>
      </w:r>
    </w:p>
    <w:p>
      <w:pPr>
        <w:pStyle w:val="BodyText"/>
        <w:numPr>
          <w:ilvl w:val="0"/>
          <w:numId w:val="79"/>
        </w:numPr>
        <w:tabs>
          <w:tab w:val="clear" w:pos="1134"/>
          <w:tab w:val="left" w:pos="709" w:leader="none"/>
        </w:tabs>
        <w:bidi w:val="0"/>
        <w:ind w:hanging="283" w:left="709"/>
        <w:jc w:val="left"/>
        <w:rPr/>
      </w:pPr>
      <w:r>
        <w:rPr>
          <w:rStyle w:val="SourceText"/>
        </w:rPr>
        <w:t>TAK</w:t>
      </w:r>
      <w:r>
        <w:rPr/>
        <w:t xml:space="preserve"> answers "how is this agent actually constrained, supervised, and evidenced at runtime?" </w:t>
      </w:r>
    </w:p>
    <w:p>
      <w:pPr>
        <w:pStyle w:val="BodyText"/>
        <w:bidi w:val="0"/>
        <w:jc w:val="left"/>
        <w:rPr/>
      </w:pPr>
      <w:r>
        <w:rPr/>
        <w:t xml:space="preserve">The canonical family map is </w:t>
      </w:r>
      <w:hyperlink r:id="rId56">
        <w:r>
          <w:rPr>
            <w:rStyle w:val="Hyperlink"/>
          </w:rPr>
          <w:t>agent-standards-family.md</w:t>
        </w:r>
      </w:hyperlink>
      <w:r>
        <w:rPr/>
        <w:t>.</w:t>
      </w:r>
    </w:p>
    <w:p>
      <w:pPr>
        <w:pStyle w:val="Heading2"/>
        <w:bidi w:val="0"/>
        <w:jc w:val="left"/>
        <w:rPr/>
      </w:pPr>
      <w:r>
        <w:rPr/>
        <w:t>20. Informative Annex B: Relationship to DPF</w:t>
      </w:r>
    </w:p>
    <w:p>
      <w:pPr>
        <w:pStyle w:val="BodyText"/>
        <w:bidi w:val="0"/>
        <w:jc w:val="left"/>
        <w:rPr/>
      </w:pPr>
      <w:r>
        <w:rPr>
          <w:rStyle w:val="SourceText"/>
        </w:rPr>
        <w:t>DPF</w:t>
      </w:r>
      <w:r>
        <w:rPr/>
        <w:t xml:space="preserve"> already demonstrates a number of </w:t>
      </w:r>
      <w:r>
        <w:rPr>
          <w:rStyle w:val="SourceText"/>
        </w:rPr>
        <w:t>TAK</w:t>
      </w:r>
      <w:r>
        <w:rPr/>
        <w:t xml:space="preserve"> patterns in practice, including:</w:t>
      </w:r>
    </w:p>
    <w:p>
      <w:pPr>
        <w:pStyle w:val="BodyText"/>
        <w:numPr>
          <w:ilvl w:val="0"/>
          <w:numId w:val="80"/>
        </w:numPr>
        <w:tabs>
          <w:tab w:val="clear" w:pos="1134"/>
          <w:tab w:val="left" w:pos="709" w:leader="none"/>
        </w:tabs>
        <w:bidi w:val="0"/>
        <w:spacing w:before="0" w:after="0"/>
        <w:ind w:hanging="283" w:left="709"/>
        <w:jc w:val="left"/>
        <w:rPr/>
      </w:pPr>
      <w:r>
        <w:rPr/>
        <w:t xml:space="preserve">layered permission intersection </w:t>
      </w:r>
    </w:p>
    <w:p>
      <w:pPr>
        <w:pStyle w:val="BodyText"/>
        <w:numPr>
          <w:ilvl w:val="0"/>
          <w:numId w:val="80"/>
        </w:numPr>
        <w:tabs>
          <w:tab w:val="clear" w:pos="1134"/>
          <w:tab w:val="left" w:pos="709" w:leader="none"/>
        </w:tabs>
        <w:bidi w:val="0"/>
        <w:spacing w:before="0" w:after="0"/>
        <w:ind w:hanging="283" w:left="709"/>
        <w:jc w:val="left"/>
        <w:rPr/>
      </w:pPr>
      <w:r>
        <w:rPr/>
        <w:t xml:space="preserve">execution-mode gating </w:t>
      </w:r>
    </w:p>
    <w:p>
      <w:pPr>
        <w:pStyle w:val="BodyText"/>
        <w:numPr>
          <w:ilvl w:val="0"/>
          <w:numId w:val="80"/>
        </w:numPr>
        <w:tabs>
          <w:tab w:val="clear" w:pos="1134"/>
          <w:tab w:val="left" w:pos="709" w:leader="none"/>
        </w:tabs>
        <w:bidi w:val="0"/>
        <w:spacing w:before="0" w:after="0"/>
        <w:ind w:hanging="283" w:left="709"/>
        <w:jc w:val="left"/>
        <w:rPr/>
      </w:pPr>
      <w:r>
        <w:rPr/>
        <w:t xml:space="preserve">immutable runtime instructions </w:t>
      </w:r>
    </w:p>
    <w:p>
      <w:pPr>
        <w:pStyle w:val="BodyText"/>
        <w:numPr>
          <w:ilvl w:val="0"/>
          <w:numId w:val="80"/>
        </w:numPr>
        <w:tabs>
          <w:tab w:val="clear" w:pos="1134"/>
          <w:tab w:val="left" w:pos="709" w:leader="none"/>
        </w:tabs>
        <w:bidi w:val="0"/>
        <w:spacing w:before="0" w:after="0"/>
        <w:ind w:hanging="283" w:left="709"/>
        <w:jc w:val="left"/>
        <w:rPr/>
      </w:pPr>
      <w:r>
        <w:rPr/>
        <w:t xml:space="preserve">route-scoped tool exposure </w:t>
      </w:r>
    </w:p>
    <w:p>
      <w:pPr>
        <w:pStyle w:val="BodyText"/>
        <w:numPr>
          <w:ilvl w:val="0"/>
          <w:numId w:val="80"/>
        </w:numPr>
        <w:tabs>
          <w:tab w:val="clear" w:pos="1134"/>
          <w:tab w:val="left" w:pos="709" w:leader="none"/>
        </w:tabs>
        <w:bidi w:val="0"/>
        <w:spacing w:before="0" w:after="0"/>
        <w:ind w:hanging="283" w:left="709"/>
        <w:jc w:val="left"/>
        <w:rPr/>
      </w:pPr>
      <w:r>
        <w:rPr/>
        <w:t xml:space="preserve">anti-fabrication controls </w:t>
      </w:r>
    </w:p>
    <w:p>
      <w:pPr>
        <w:pStyle w:val="BodyText"/>
        <w:numPr>
          <w:ilvl w:val="0"/>
          <w:numId w:val="80"/>
        </w:numPr>
        <w:tabs>
          <w:tab w:val="clear" w:pos="1134"/>
          <w:tab w:val="left" w:pos="709" w:leader="none"/>
        </w:tabs>
        <w:bidi w:val="0"/>
        <w:spacing w:before="0" w:after="0"/>
        <w:ind w:hanging="283" w:left="709"/>
        <w:jc w:val="left"/>
        <w:rPr/>
      </w:pPr>
      <w:r>
        <w:rPr/>
        <w:t xml:space="preserve">audit logging </w:t>
      </w:r>
    </w:p>
    <w:p>
      <w:pPr>
        <w:pStyle w:val="BodyText"/>
        <w:numPr>
          <w:ilvl w:val="0"/>
          <w:numId w:val="80"/>
        </w:numPr>
        <w:tabs>
          <w:tab w:val="clear" w:pos="1134"/>
          <w:tab w:val="left" w:pos="709" w:leader="none"/>
        </w:tabs>
        <w:bidi w:val="0"/>
        <w:spacing w:before="0" w:after="0"/>
        <w:ind w:hanging="283" w:left="709"/>
        <w:jc w:val="left"/>
        <w:rPr/>
      </w:pPr>
      <w:r>
        <w:rPr/>
        <w:t xml:space="preserve">orchestrator and specialist patterns </w:t>
      </w:r>
    </w:p>
    <w:p>
      <w:pPr>
        <w:pStyle w:val="BodyText"/>
        <w:numPr>
          <w:ilvl w:val="0"/>
          <w:numId w:val="80"/>
        </w:numPr>
        <w:tabs>
          <w:tab w:val="clear" w:pos="1134"/>
          <w:tab w:val="left" w:pos="709" w:leader="none"/>
        </w:tabs>
        <w:bidi w:val="0"/>
        <w:spacing w:before="0" w:after="0"/>
        <w:ind w:hanging="283" w:left="709"/>
        <w:jc w:val="left"/>
        <w:rPr/>
      </w:pPr>
      <w:r>
        <w:rPr/>
        <w:t xml:space="preserve">proactivity controls separated from hard approval ceilings </w:t>
      </w:r>
    </w:p>
    <w:p>
      <w:pPr>
        <w:pStyle w:val="BodyText"/>
        <w:numPr>
          <w:ilvl w:val="0"/>
          <w:numId w:val="80"/>
        </w:numPr>
        <w:tabs>
          <w:tab w:val="clear" w:pos="1134"/>
          <w:tab w:val="left" w:pos="709" w:leader="none"/>
        </w:tabs>
        <w:bidi w:val="0"/>
        <w:spacing w:before="0" w:after="0"/>
        <w:ind w:hanging="283" w:left="709"/>
        <w:jc w:val="left"/>
        <w:rPr/>
      </w:pPr>
      <w:r>
        <w:rPr/>
        <w:t xml:space="preserve">sensitivity-aware model/provider routing </w:t>
      </w:r>
    </w:p>
    <w:p>
      <w:pPr>
        <w:pStyle w:val="BodyText"/>
        <w:numPr>
          <w:ilvl w:val="0"/>
          <w:numId w:val="80"/>
        </w:numPr>
        <w:tabs>
          <w:tab w:val="clear" w:pos="1134"/>
          <w:tab w:val="left" w:pos="709" w:leader="none"/>
        </w:tabs>
        <w:bidi w:val="0"/>
        <w:ind w:hanging="283" w:left="709"/>
        <w:jc w:val="left"/>
        <w:rPr/>
      </w:pPr>
      <w:r>
        <w:rPr/>
        <w:t xml:space="preserve">shadow-ledger and progressive-autonomy mechanisms </w:t>
      </w:r>
    </w:p>
    <w:p>
      <w:pPr>
        <w:pStyle w:val="BodyText"/>
        <w:bidi w:val="0"/>
        <w:jc w:val="left"/>
        <w:rPr/>
      </w:pPr>
      <w:r>
        <w:rPr/>
        <w:t xml:space="preserve">That makes </w:t>
      </w:r>
      <w:r>
        <w:rPr>
          <w:rStyle w:val="SourceText"/>
        </w:rPr>
        <w:t>DPF</w:t>
      </w:r>
      <w:r>
        <w:rPr/>
        <w:t xml:space="preserve"> a useful proving ground for the first conformance assessment of this standard.</w:t>
      </w:r>
    </w:p>
    <w:p>
      <w:pPr>
        <w:pStyle w:val="BodyText"/>
        <w:bidi w:val="0"/>
        <w:jc w:val="left"/>
        <w:rPr/>
      </w:pPr>
      <w:r>
        <w:rPr/>
        <w:t xml:space="preserve">For the purposes of this standards family, </w:t>
      </w:r>
      <w:r>
        <w:rPr>
          <w:rStyle w:val="SourceText"/>
        </w:rPr>
        <w:t>DPF</w:t>
      </w:r>
      <w:r>
        <w:rPr/>
        <w:t xml:space="preserve"> should be understood as an initial implementation prototype rather than as a claim of full conformance.</w:t>
      </w:r>
    </w:p>
    <w:p>
      <w:pPr>
        <w:pStyle w:val="BodyText"/>
        <w:bidi w:val="0"/>
        <w:jc w:val="left"/>
        <w:rPr/>
      </w:pPr>
      <w:r>
        <w:rPr/>
        <w:t xml:space="preserve">The prototype value is that </w:t>
      </w:r>
      <w:r>
        <w:rPr>
          <w:rStyle w:val="SourceText"/>
        </w:rPr>
        <w:t>DPF</w:t>
      </w:r>
      <w:r>
        <w:rPr/>
        <w:t xml:space="preserve"> can concretely demonstrate:</w:t>
      </w:r>
    </w:p>
    <w:p>
      <w:pPr>
        <w:pStyle w:val="BodyText"/>
        <w:numPr>
          <w:ilvl w:val="0"/>
          <w:numId w:val="81"/>
        </w:numPr>
        <w:tabs>
          <w:tab w:val="clear" w:pos="1134"/>
          <w:tab w:val="left" w:pos="709" w:leader="none"/>
        </w:tabs>
        <w:bidi w:val="0"/>
        <w:spacing w:before="0" w:after="0"/>
        <w:ind w:hanging="283" w:left="709"/>
        <w:jc w:val="left"/>
        <w:rPr/>
      </w:pPr>
      <w:r>
        <w:rPr/>
        <w:t xml:space="preserve">which </w:t>
      </w:r>
      <w:r>
        <w:rPr>
          <w:rStyle w:val="SourceText"/>
        </w:rPr>
        <w:t>TAK</w:t>
      </w:r>
      <w:r>
        <w:rPr/>
        <w:t xml:space="preserve"> controls are already practical in a real enterprise-facing platform </w:t>
      </w:r>
    </w:p>
    <w:p>
      <w:pPr>
        <w:pStyle w:val="BodyText"/>
        <w:numPr>
          <w:ilvl w:val="0"/>
          <w:numId w:val="81"/>
        </w:numPr>
        <w:tabs>
          <w:tab w:val="clear" w:pos="1134"/>
          <w:tab w:val="left" w:pos="709" w:leader="none"/>
        </w:tabs>
        <w:bidi w:val="0"/>
        <w:spacing w:before="0" w:after="0"/>
        <w:ind w:hanging="283" w:left="709"/>
        <w:jc w:val="left"/>
        <w:rPr/>
      </w:pPr>
      <w:r>
        <w:rPr/>
        <w:t xml:space="preserve">which controls require more explicit machine-readable surfaces </w:t>
      </w:r>
    </w:p>
    <w:p>
      <w:pPr>
        <w:pStyle w:val="BodyText"/>
        <w:numPr>
          <w:ilvl w:val="0"/>
          <w:numId w:val="81"/>
        </w:numPr>
        <w:tabs>
          <w:tab w:val="clear" w:pos="1134"/>
          <w:tab w:val="left" w:pos="709" w:leader="none"/>
        </w:tabs>
        <w:bidi w:val="0"/>
        <w:ind w:hanging="283" w:left="709"/>
        <w:jc w:val="left"/>
        <w:rPr/>
      </w:pPr>
      <w:r>
        <w:rPr/>
        <w:t xml:space="preserve">what evidence and runtime-state publication patterns need to be added next </w:t>
      </w:r>
    </w:p>
    <w:p>
      <w:pPr>
        <w:pStyle w:val="BodyText"/>
        <w:bidi w:val="0"/>
        <w:jc w:val="left"/>
        <w:rPr/>
      </w:pPr>
      <w:r>
        <w:rPr/>
        <w:t xml:space="preserve">The most useful near-term </w:t>
      </w:r>
      <w:r>
        <w:rPr>
          <w:rStyle w:val="SourceText"/>
        </w:rPr>
        <w:t>DPF</w:t>
      </w:r>
      <w:r>
        <w:rPr/>
        <w:t xml:space="preserve"> outcomes under this standard include:</w:t>
      </w:r>
    </w:p>
    <w:p>
      <w:pPr>
        <w:pStyle w:val="BodyText"/>
        <w:numPr>
          <w:ilvl w:val="0"/>
          <w:numId w:val="82"/>
        </w:numPr>
        <w:tabs>
          <w:tab w:val="clear" w:pos="1134"/>
          <w:tab w:val="left" w:pos="709" w:leader="none"/>
        </w:tabs>
        <w:bidi w:val="0"/>
        <w:spacing w:before="0" w:after="0"/>
        <w:ind w:hanging="283" w:left="709"/>
        <w:jc w:val="left"/>
        <w:rPr/>
      </w:pPr>
      <w:r>
        <w:rPr/>
        <w:t xml:space="preserve">explicit queue and provider-budget state publication </w:t>
      </w:r>
    </w:p>
    <w:p>
      <w:pPr>
        <w:pStyle w:val="BodyText"/>
        <w:numPr>
          <w:ilvl w:val="0"/>
          <w:numId w:val="82"/>
        </w:numPr>
        <w:tabs>
          <w:tab w:val="clear" w:pos="1134"/>
          <w:tab w:val="left" w:pos="709" w:leader="none"/>
        </w:tabs>
        <w:bidi w:val="0"/>
        <w:spacing w:before="0" w:after="0"/>
        <w:ind w:hanging="283" w:left="709"/>
        <w:jc w:val="left"/>
        <w:rPr/>
      </w:pPr>
      <w:r>
        <w:rPr/>
        <w:t xml:space="preserve">stronger runtime event typing for backpressure, failover, and escalation </w:t>
      </w:r>
    </w:p>
    <w:p>
      <w:pPr>
        <w:pStyle w:val="BodyText"/>
        <w:numPr>
          <w:ilvl w:val="0"/>
          <w:numId w:val="82"/>
        </w:numPr>
        <w:tabs>
          <w:tab w:val="clear" w:pos="1134"/>
          <w:tab w:val="left" w:pos="709" w:leader="none"/>
        </w:tabs>
        <w:bidi w:val="0"/>
        <w:spacing w:before="0" w:after="0"/>
        <w:ind w:hanging="283" w:left="709"/>
        <w:jc w:val="left"/>
        <w:rPr/>
      </w:pPr>
      <w:r>
        <w:rPr/>
        <w:t xml:space="preserve">tighter linkage between runtime evidence and companion </w:t>
      </w:r>
      <w:r>
        <w:rPr>
          <w:rStyle w:val="SourceText"/>
        </w:rPr>
        <w:t>GAID</w:t>
      </w:r>
      <w:r>
        <w:rPr/>
        <w:t xml:space="preserve"> receipts </w:t>
      </w:r>
    </w:p>
    <w:p>
      <w:pPr>
        <w:pStyle w:val="BodyText"/>
        <w:numPr>
          <w:ilvl w:val="0"/>
          <w:numId w:val="82"/>
        </w:numPr>
        <w:tabs>
          <w:tab w:val="clear" w:pos="1134"/>
          <w:tab w:val="left" w:pos="709" w:leader="none"/>
        </w:tabs>
        <w:bidi w:val="0"/>
        <w:spacing w:before="0" w:after="0"/>
        <w:ind w:hanging="283" w:left="709"/>
        <w:jc w:val="left"/>
        <w:rPr/>
      </w:pPr>
      <w:r>
        <w:rPr/>
        <w:t xml:space="preserve">clearer supervisor-facing transparency for active runtime posture </w:t>
      </w:r>
    </w:p>
    <w:p>
      <w:pPr>
        <w:pStyle w:val="BodyText"/>
        <w:numPr>
          <w:ilvl w:val="0"/>
          <w:numId w:val="82"/>
        </w:numPr>
        <w:tabs>
          <w:tab w:val="clear" w:pos="1134"/>
          <w:tab w:val="left" w:pos="709" w:leader="none"/>
        </w:tabs>
        <w:bidi w:val="0"/>
        <w:ind w:hanging="283" w:left="709"/>
        <w:jc w:val="left"/>
        <w:rPr/>
      </w:pPr>
      <w:r>
        <w:rPr/>
        <w:t xml:space="preserve">qualification-aware runtime enforcement and revalidation through the companion </w:t>
      </w:r>
      <w:r>
        <w:rPr>
          <w:rStyle w:val="SourceText"/>
        </w:rPr>
        <w:t>TAK-JSI</w:t>
      </w:r>
      <w:r>
        <w:rPr/>
        <w:t xml:space="preserve"> profile </w:t>
      </w:r>
    </w:p>
    <w:p>
      <w:pPr>
        <w:pStyle w:val="Heading2"/>
        <w:bidi w:val="0"/>
        <w:jc w:val="left"/>
        <w:rPr/>
      </w:pPr>
      <w:r>
        <w:rPr/>
        <w:t>21. Revision History</w:t>
      </w:r>
    </w:p>
    <w:tbl>
      <w:tblPr>
        <w:tblW w:w="47040" w:type="dxa"/>
        <w:jc w:val="left"/>
        <w:tblInd w:w="0" w:type="dxa"/>
        <w:tblLayout w:type="fixed"/>
        <w:tblCellMar>
          <w:top w:w="28" w:type="dxa"/>
          <w:left w:w="28" w:type="dxa"/>
          <w:bottom w:w="28" w:type="dxa"/>
          <w:right w:w="28" w:type="dxa"/>
        </w:tblCellMar>
      </w:tblPr>
      <w:tblGrid>
        <w:gridCol w:w="1109"/>
        <w:gridCol w:w="23377"/>
        <w:gridCol w:w="22554"/>
      </w:tblGrid>
      <w:tr>
        <w:trPr>
          <w:tblHeader w:val="true"/>
        </w:trPr>
        <w:tc>
          <w:tcPr>
            <w:tcW w:w="1109" w:type="dxa"/>
            <w:tcBorders/>
            <w:vAlign w:val="center"/>
          </w:tcPr>
          <w:p>
            <w:pPr>
              <w:pStyle w:val="TableHeading"/>
              <w:suppressLineNumbers/>
              <w:bidi w:val="0"/>
              <w:spacing w:before="0" w:after="283"/>
              <w:jc w:val="center"/>
              <w:rPr/>
            </w:pPr>
            <w:r>
              <w:rPr/>
              <w:t>Revision</w:t>
            </w:r>
          </w:p>
        </w:tc>
        <w:tc>
          <w:tcPr>
            <w:tcW w:w="23377" w:type="dxa"/>
            <w:tcBorders/>
            <w:vAlign w:val="center"/>
          </w:tcPr>
          <w:p>
            <w:pPr>
              <w:pStyle w:val="TableHeading"/>
              <w:suppressLineNumbers/>
              <w:bidi w:val="0"/>
              <w:spacing w:before="0" w:after="283"/>
              <w:jc w:val="center"/>
              <w:rPr/>
            </w:pPr>
            <w:r>
              <w:rPr/>
              <w:t>Change</w:t>
            </w:r>
          </w:p>
        </w:tc>
        <w:tc>
          <w:tcPr>
            <w:tcW w:w="22554" w:type="dxa"/>
            <w:tcBorders/>
            <w:vAlign w:val="center"/>
          </w:tcPr>
          <w:p>
            <w:pPr>
              <w:pStyle w:val="TableHeading"/>
              <w:suppressLineNumbers/>
              <w:bidi w:val="0"/>
              <w:spacing w:before="0" w:after="283"/>
              <w:jc w:val="center"/>
              <w:rPr/>
            </w:pPr>
            <w:r>
              <w:rPr/>
              <w:t>Origin</w:t>
            </w:r>
          </w:p>
        </w:tc>
      </w:tr>
      <w:tr>
        <w:trPr/>
        <w:tc>
          <w:tcPr>
            <w:tcW w:w="1109" w:type="dxa"/>
            <w:tcBorders/>
            <w:vAlign w:val="center"/>
          </w:tcPr>
          <w:p>
            <w:pPr>
              <w:pStyle w:val="TableContents"/>
              <w:bidi w:val="0"/>
              <w:spacing w:before="0" w:after="283"/>
              <w:jc w:val="left"/>
              <w:rPr/>
            </w:pPr>
            <w:r>
              <w:rPr/>
              <w:t>2026-08-20</w:t>
            </w:r>
          </w:p>
        </w:tc>
        <w:tc>
          <w:tcPr>
            <w:tcW w:w="23377" w:type="dxa"/>
            <w:tcBorders/>
            <w:vAlign w:val="center"/>
          </w:tcPr>
          <w:p>
            <w:pPr>
              <w:pStyle w:val="TableContents"/>
              <w:bidi w:val="0"/>
              <w:spacing w:before="0" w:after="283"/>
              <w:jc w:val="left"/>
              <w:rPr/>
            </w:pPr>
            <w:r>
              <w:rPr/>
              <w:t xml:space="preserve">Added §7.12.1 (autonomy bounded by gate coverage), §7.12.2 (admission criteria), §8.1 consequence class, §8.4.1 (derived classification; enumerated-allowlist anti-pattern), §8.4.2 (gate coverage as a governed metric), §8.11 (governed activity shapes and triggers), §8.11.1 (trigger classes; dead-intent rule), §8.11.2 (proactivity does not widen a shape), §13.3 (decision records and the review loop). Profile requirements in §17 extended accordingly; assertions </w:t>
            </w:r>
            <w:r>
              <w:rPr>
                <w:rStyle w:val="SourceText"/>
              </w:rPr>
              <w:t>TAK-020</w:t>
            </w:r>
            <w:r>
              <w:rPr/>
              <w:t>–</w:t>
            </w:r>
            <w:r>
              <w:rPr>
                <w:rStyle w:val="SourceText"/>
              </w:rPr>
              <w:t>TAK-028</w:t>
            </w:r>
            <w:r>
              <w:rPr/>
              <w:t xml:space="preserve"> added to the companion rubric.</w:t>
            </w:r>
          </w:p>
        </w:tc>
        <w:tc>
          <w:tcPr>
            <w:tcW w:w="22554" w:type="dxa"/>
            <w:tcBorders/>
            <w:vAlign w:val="center"/>
          </w:tcPr>
          <w:p>
            <w:pPr>
              <w:pStyle w:val="TableContents"/>
              <w:bidi w:val="0"/>
              <w:spacing w:before="0" w:after="283"/>
              <w:jc w:val="left"/>
              <w:rPr/>
            </w:pPr>
            <w:r>
              <w:rPr/>
              <w:t>Derived from operating a real implementation. Each addition addresses a failure observed in practice rather than an anticipated one: a correctly-implemented, enforce-by-default action gate that governed 2 of 169 side-effecting tools because its scope was an opt-in list; recurring agent-initiated activity with no declared stop condition; and a governance loop that could learn from human rulings but not from outcomes, leaving it open in precisely the autonomous mode it was built for.</w:t>
            </w:r>
          </w:p>
        </w:tc>
      </w:tr>
    </w:tbl>
    <w:p>
      <w:pPr>
        <w:pStyle w:val="BodyText"/>
        <w:bidi w:val="0"/>
        <w:jc w:val="left"/>
        <w:rPr/>
      </w:pPr>
      <w:r>
        <w:rPr/>
        <w:t xml:space="preserve">This revision is </w:t>
      </w:r>
      <w:r>
        <w:rPr>
          <w:rStyle w:val="Strong"/>
        </w:rPr>
        <w:t>additive</w:t>
      </w:r>
      <w:r>
        <w:rPr/>
        <w:t>: it introduces new normative requirements without weakening or contradicting existing ones, and is therefore a minor-version change under §2.1. Implementations conforming to the prior revision remain conformant to the requirements they already met, and will show gaps against the new assertions.</w:t>
      </w:r>
    </w:p>
    <w:p>
      <w:pPr>
        <w:pStyle w:val="Heading2"/>
        <w:bidi w:val="0"/>
        <w:jc w:val="left"/>
        <w:rPr/>
      </w:pPr>
      <w:r>
        <w:rPr/>
        <w:t>22. Summary</w:t>
      </w:r>
    </w:p>
    <w:p>
      <w:pPr>
        <w:pStyle w:val="BodyText"/>
        <w:bidi w:val="0"/>
        <w:jc w:val="left"/>
        <w:rPr/>
      </w:pPr>
      <w:r>
        <w:rPr/>
        <w:t>The key message of this standard is simple:</w:t>
      </w:r>
    </w:p>
    <w:p>
      <w:pPr>
        <w:pStyle w:val="BodyText"/>
        <w:bidi w:val="0"/>
        <w:jc w:val="left"/>
        <w:rPr/>
      </w:pPr>
      <w:r>
        <w:rPr/>
        <w:t>AI agents become trustworthy and repeatable in practice only when they run inside a standard kernel harness that governs authority, tools, memory, provider use, oversight, and evidence with discipline.</w:t>
      </w:r>
    </w:p>
    <w:p>
      <w:pPr>
        <w:pStyle w:val="BodyText"/>
        <w:bidi w:val="0"/>
        <w:spacing w:before="0" w:after="283"/>
        <w:jc w:val="left"/>
        <w:rPr/>
      </w:pPr>
      <w:r>
        <w:rPr>
          <w:rStyle w:val="SourceText"/>
        </w:rPr>
        <w:t>TAK</w:t>
      </w:r>
      <w:r>
        <w:rPr/>
        <w:t xml:space="preserve"> provides that discipline. It is not a substitute for broader organizational governance. It is the runtime harness standard and control model that makes operational governance real.</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3">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BodyText"/>
    <w:qFormat/>
    <w:pPr/>
    <w:rPr>
      <w:b/>
      <w:bCs/>
      <w:sz w:val="48"/>
      <w:szCs w:val="48"/>
    </w:rPr>
  </w:style>
  <w:style w:type="paragraph" w:styleId="Heading2">
    <w:name w:val="heading 2"/>
    <w:basedOn w:val="Heading"/>
    <w:next w:val="BodyText"/>
    <w:qFormat/>
    <w:p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8"/>
      <w:szCs w:val="28"/>
    </w:rPr>
  </w:style>
  <w:style w:type="paragraph" w:styleId="Heading4">
    <w:name w:val="heading 4"/>
    <w:basedOn w:val="Heading"/>
    <w:next w:val="BodyText"/>
    <w:qFormat/>
    <w:pPr>
      <w:spacing w:before="120" w:after="120"/>
      <w:outlineLvl w:val="3"/>
    </w:pPr>
    <w:rPr>
      <w:rFonts w:ascii="Liberation Serif" w:hAnsi="Liberation Serif" w:eastAsia="DejaVu Sans" w:cs="DejaVu Sans"/>
      <w:b/>
      <w:bCs/>
      <w:sz w:val="24"/>
      <w:szCs w:val="24"/>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character" w:styleId="SourceText">
    <w:name w:val="Source Text"/>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 w:type="paragraph" w:styleId="BlockQuotation">
    <w:name w:val="Block Quotation"/>
    <w:basedOn w:val="Normal"/>
    <w:qFormat/>
    <w:pPr>
      <w:spacing w:before="0" w:after="283"/>
      <w:ind w:hanging="0" w:left="567" w:right="567"/>
    </w:pPr>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in/job-specific-intelligence.md" TargetMode="External"/><Relationship Id="rId3" Type="http://schemas.openxmlformats.org/officeDocument/2006/relationships/hyperlink" Target="https://www.servicenow.com/docs/r/application-portfolio-management/eaw-modeling-csdm-shapes.html" TargetMode="External"/><Relationship Id="rId4" Type="http://schemas.openxmlformats.org/officeDocument/2006/relationships/image" Target="media/image1.png"/><Relationship Id="rId5" Type="http://schemas.openxmlformats.org/officeDocument/2006/relationships/hyperlink" Target="../in/four-portfolio-archetype-ai-workforce-operating-standard.md" TargetMode="External"/><Relationship Id="rId6" Type="http://schemas.openxmlformats.org/officeDocument/2006/relationships/image" Target="media/image2.png"/><Relationship Id="rId7" Type="http://schemas.openxmlformats.org/officeDocument/2006/relationships/hyperlink" Target="../in/GAID.md" TargetMode="External"/><Relationship Id="rId8" Type="http://schemas.openxmlformats.org/officeDocument/2006/relationships/hyperlink" Target="../in/job-specific-intelligence.md" TargetMode="External"/><Relationship Id="rId9" Type="http://schemas.openxmlformats.org/officeDocument/2006/relationships/hyperlink" Target="../in/agent-standards-external-alignment.md" TargetMode="External"/><Relationship Id="rId10" Type="http://schemas.openxmlformats.org/officeDocument/2006/relationships/hyperlink" Target="https://www.iso.org/standard/42001" TargetMode="External"/><Relationship Id="rId11" Type="http://schemas.openxmlformats.org/officeDocument/2006/relationships/hyperlink" Target="https://www.iso.org/standard/17024" TargetMode="External"/><Relationship Id="rId12" Type="http://schemas.openxmlformats.org/officeDocument/2006/relationships/hyperlink" Target="https://www.iso.org/standard/80655.html" TargetMode="External"/><Relationship Id="rId13" Type="http://schemas.openxmlformats.org/officeDocument/2006/relationships/hyperlink" Target="https://www.iso.org/standard/84150.html" TargetMode="External"/><Relationship Id="rId14" Type="http://schemas.openxmlformats.org/officeDocument/2006/relationships/hyperlink" Target="https://www.iso.org/standard/84127.html" TargetMode="External"/><Relationship Id="rId15" Type="http://schemas.openxmlformats.org/officeDocument/2006/relationships/hyperlink" Target="https://www.iso.org/standard/85072.html" TargetMode="External"/><Relationship Id="rId16" Type="http://schemas.openxmlformats.org/officeDocument/2006/relationships/hyperlink" Target="https://www.iso.org/standard/86902.html" TargetMode="External"/><Relationship Id="rId17" Type="http://schemas.openxmlformats.org/officeDocument/2006/relationships/hyperlink" Target="https://www.iso.org/committee/6794475.html" TargetMode="External"/><Relationship Id="rId18" Type="http://schemas.openxmlformats.org/officeDocument/2006/relationships/hyperlink" Target="https://doi.org/10.6028/NIST.AI.100-1" TargetMode="External"/><Relationship Id="rId19" Type="http://schemas.openxmlformats.org/officeDocument/2006/relationships/hyperlink" Target="https://www.nist.gov/artificial-intelligence/ai-agent-standards-initiative" TargetMode="External"/><Relationship Id="rId20" Type="http://schemas.openxmlformats.org/officeDocument/2006/relationships/hyperlink" Target="https://csrc.nist.gov/pubs/other/2026/02/05/accelerating-the-adoption-of-software-and-ai-agent/ipd" TargetMode="External"/><Relationship Id="rId21" Type="http://schemas.openxmlformats.org/officeDocument/2006/relationships/hyperlink" Target="https://www.nist.gov/news-events/news/2026/01/towards-best-practices-automated-benchmark-evaluations" TargetMode="External"/><Relationship Id="rId22" Type="http://schemas.openxmlformats.org/officeDocument/2006/relationships/hyperlink" Target="https://standards.ieee.org/ieee/3709/12159" TargetMode="External"/><Relationship Id="rId23" Type="http://schemas.openxmlformats.org/officeDocument/2006/relationships/hyperlink" Target="https://standards.ieee.org/ieee/3833/11922/" TargetMode="External"/><Relationship Id="rId24" Type="http://schemas.openxmlformats.org/officeDocument/2006/relationships/hyperlink" Target="https://modelcontextprotocol.io/specification/2025-11-25/basic" TargetMode="External"/><Relationship Id="rId25" Type="http://schemas.openxmlformats.org/officeDocument/2006/relationships/hyperlink" Target="https://modelcontextprotocol.io/specification/2025-11-25/basic/authorization" TargetMode="External"/><Relationship Id="rId26" Type="http://schemas.openxmlformats.org/officeDocument/2006/relationships/hyperlink" Target="https://www.anthropic.com/news/model-context-protocol" TargetMode="External"/><Relationship Id="rId27" Type="http://schemas.openxmlformats.org/officeDocument/2006/relationships/hyperlink" Target="https://www.linuxfoundation.org/press/linux-foundation-announces-the-formation-of-the-agentic-ai-foundation?hs_amp=true" TargetMode="External"/><Relationship Id="rId28" Type="http://schemas.openxmlformats.org/officeDocument/2006/relationships/hyperlink" Target="https://agents.md/" TargetMode="External"/><Relationship Id="rId29" Type="http://schemas.openxmlformats.org/officeDocument/2006/relationships/hyperlink" Target="https://www.rfc-editor.org/rfc/rfc9728" TargetMode="External"/><Relationship Id="rId30" Type="http://schemas.openxmlformats.org/officeDocument/2006/relationships/hyperlink" Target="https://www.rfc-editor.org/rfc/rfc9635" TargetMode="External"/><Relationship Id="rId31" Type="http://schemas.openxmlformats.org/officeDocument/2006/relationships/hyperlink" Target="https://www.rfc-editor.org/rfc/rfc9767" TargetMode="External"/><Relationship Id="rId32" Type="http://schemas.openxmlformats.org/officeDocument/2006/relationships/hyperlink" Target="https://www.rfc-editor.org/rfc/rfc9449" TargetMode="External"/><Relationship Id="rId33" Type="http://schemas.openxmlformats.org/officeDocument/2006/relationships/hyperlink" Target="https://datatracker.ietf.org/group/wimse/" TargetMode="External"/><Relationship Id="rId34" Type="http://schemas.openxmlformats.org/officeDocument/2006/relationships/hyperlink" Target="https://datatracker.ietf.org/doc/draft-klrc-aiagent-auth/02/" TargetMode="External"/><Relationship Id="rId35" Type="http://schemas.openxmlformats.org/officeDocument/2006/relationships/hyperlink" Target="https://www.ietf.org/archive/id/draft-munoz-wimse-authorization-evidence-00.html" TargetMode="External"/><Relationship Id="rId36" Type="http://schemas.openxmlformats.org/officeDocument/2006/relationships/hyperlink" Target="https://openai.com/index/updating-our-preparedness-framework/" TargetMode="External"/><Relationship Id="rId37" Type="http://schemas.openxmlformats.org/officeDocument/2006/relationships/hyperlink" Target="https://www.anthropic.com/responsible-scaling-policy" TargetMode="External"/><Relationship Id="rId38" Type="http://schemas.openxmlformats.org/officeDocument/2006/relationships/hyperlink" Target="https://deepmind.google/discover/blog/strengthening-our-frontier-safety-framework/" TargetMode="External"/><Relationship Id="rId39" Type="http://schemas.openxmlformats.org/officeDocument/2006/relationships/hyperlink" Target="https://www.coalitionforsecureai.org/wp-content/uploads/2026/04/agentic-identity-and-access-control.pdf" TargetMode="External"/><Relationship Id="rId40" Type="http://schemas.openxmlformats.org/officeDocument/2006/relationships/hyperlink" Target="https://genai.owasp.org/2025/12/09/owasp-top-10-for-agentic-applications-the-benchmark-for-agentic-security-in-the-age-of-autonomous-ai/" TargetMode="External"/><Relationship Id="rId41" Type="http://schemas.openxmlformats.org/officeDocument/2006/relationships/hyperlink" Target="https://www.w3.org/TR/trace-context/" TargetMode="External"/><Relationship Id="rId42" Type="http://schemas.openxmlformats.org/officeDocument/2006/relationships/hyperlink" Target="https://www.rfc-editor.org/info/rfc9421" TargetMode="External"/><Relationship Id="rId43" Type="http://schemas.openxmlformats.org/officeDocument/2006/relationships/hyperlink" Target="https://github.com/in-toto/attestation/blob/main/spec/README.md" TargetMode="External"/><Relationship Id="rId44" Type="http://schemas.openxmlformats.org/officeDocument/2006/relationships/hyperlink" Target="https://docs.sigstore.dev/" TargetMode="External"/><Relationship Id="rId45" Type="http://schemas.openxmlformats.org/officeDocument/2006/relationships/hyperlink" Target="https://labs.cloudsecurityalliance.org/maestro/" TargetMode="External"/><Relationship Id="rId46" Type="http://schemas.openxmlformats.org/officeDocument/2006/relationships/hyperlink" Target="https://atlas.mitre.org/" TargetMode="External"/><Relationship Id="rId47" Type="http://schemas.openxmlformats.org/officeDocument/2006/relationships/hyperlink" Target="https://www.imda.gov.sg/resources/press-releases-factsheets-and-speeches/press-releases/2026/new-model-ai-governance-framework-for-agentic-ai" TargetMode="External"/><Relationship Id="rId48" Type="http://schemas.openxmlformats.org/officeDocument/2006/relationships/hyperlink" Target="https://www.iso.org/standard/84111.html" TargetMode="External"/><Relationship Id="rId49" Type="http://schemas.openxmlformats.org/officeDocument/2006/relationships/hyperlink" Target="https://www.iso.org/standard/86898.html" TargetMode="External"/><Relationship Id="rId50" Type="http://schemas.openxmlformats.org/officeDocument/2006/relationships/image" Target="media/image3.png"/><Relationship Id="rId51" Type="http://schemas.openxmlformats.org/officeDocument/2006/relationships/image" Target="media/image4.png"/><Relationship Id="rId52" Type="http://schemas.openxmlformats.org/officeDocument/2006/relationships/hyperlink" Target="../superpowers/specs/2026-09-27-principle-directed-agent-composition-design.md" TargetMode="External"/><Relationship Id="rId53" Type="http://schemas.openxmlformats.org/officeDocument/2006/relationships/image" Target="media/image5.png"/><Relationship Id="rId54" Type="http://schemas.openxmlformats.org/officeDocument/2006/relationships/image" Target="media/image6.png"/><Relationship Id="rId55" Type="http://schemas.openxmlformats.org/officeDocument/2006/relationships/image" Target="media/image7.png"/><Relationship Id="rId56" Type="http://schemas.openxmlformats.org/officeDocument/2006/relationships/hyperlink" Target="../in/agent-standards-family.md" TargetMode="Externa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LibreOffice/25.2.3.2$Linux_AARCH64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Trusted AI Kernel</dc:title>
</cp:coreProperties>
</file>

<file path=docProps/custom.xml><?xml version="1.0" encoding="utf-8"?>
<Properties xmlns="http://schemas.openxmlformats.org/officeDocument/2006/custom-properties" xmlns:vt="http://schemas.openxmlformats.org/officeDocument/2006/docPropsVTypes"/>
</file>